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Times New Roman"/>
          <w:b/>
          <w:sz w:val="44"/>
          <w:szCs w:val="44"/>
        </w:rPr>
      </w:pPr>
      <w:bookmarkStart w:id="0" w:name="_Hlk5193762"/>
      <w:bookmarkEnd w:id="0"/>
      <w:bookmarkStart w:id="1" w:name="_Toc480043847"/>
      <w:bookmarkStart w:id="2" w:name="_Toc480043886"/>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万方智搜—学术</w:t>
      </w:r>
      <w:r>
        <w:rPr>
          <w:rFonts w:ascii="微软雅黑" w:hAnsi="微软雅黑" w:eastAsia="微软雅黑" w:cs="Times New Roman"/>
          <w:b/>
          <w:sz w:val="44"/>
          <w:szCs w:val="44"/>
        </w:rPr>
        <w:t>资源发现系统</w:t>
      </w: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用户使用说明</w:t>
      </w:r>
    </w:p>
    <w:p>
      <w:pPr>
        <w:widowControl/>
        <w:jc w:val="left"/>
      </w:pPr>
      <w:r>
        <w:br w:type="page"/>
      </w:r>
    </w:p>
    <w:p>
      <w:pPr>
        <w:pStyle w:val="35"/>
        <w:tabs>
          <w:tab w:val="left" w:pos="2764"/>
          <w:tab w:val="center" w:pos="4213"/>
        </w:tabs>
        <w:jc w:val="center"/>
        <w:rPr>
          <w:rFonts w:asciiTheme="minorHAnsi" w:hAnsiTheme="minorHAnsi" w:eastAsiaTheme="minorEastAsia" w:cstheme="minorBidi"/>
          <w:color w:val="auto"/>
          <w:kern w:val="2"/>
          <w:sz w:val="21"/>
          <w:szCs w:val="22"/>
        </w:rPr>
      </w:pPr>
      <w:r>
        <w:rPr>
          <w:rFonts w:asciiTheme="minorHAnsi" w:hAnsiTheme="minorHAnsi" w:eastAsiaTheme="minorEastAsia" w:cstheme="minorBidi"/>
          <w:color w:val="auto"/>
          <w:kern w:val="2"/>
          <w:sz w:val="21"/>
          <w:szCs w:val="22"/>
        </w:rPr>
        <w:tab/>
      </w:r>
    </w:p>
    <w:sdt>
      <w:sdtPr>
        <w:rPr>
          <w:rFonts w:ascii="宋体" w:hAnsi="宋体" w:eastAsia="宋体" w:cstheme="minorBidi"/>
          <w:kern w:val="2"/>
          <w:sz w:val="21"/>
          <w:szCs w:val="22"/>
          <w:lang w:val="en-US" w:eastAsia="zh-CN" w:bidi="ar-SA"/>
        </w:rPr>
        <w:id w:val="418754236"/>
        <w15:color w:val="DBDBDB"/>
        <w:docPartObj>
          <w:docPartGallery w:val="Table of Contents"/>
          <w:docPartUnique/>
        </w:docPartObj>
      </w:sdtPr>
      <w:sdtEndPr>
        <w:rPr>
          <w:rFonts w:asciiTheme="minorHAnsi" w:hAnsiTheme="minorHAnsi" w:eastAsiaTheme="minorEastAsia"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_Toc1926461863 </w:instrText>
          </w:r>
          <w:r>
            <w:fldChar w:fldCharType="separate"/>
          </w:r>
          <w:r>
            <w:rPr>
              <w:rFonts w:hint="eastAsia" w:ascii="Calibri" w:hAnsi="Calibri" w:eastAsia="宋体" w:cs="Times New Roman"/>
            </w:rPr>
            <w:t>第一部分 概述</w:t>
          </w:r>
          <w:r>
            <w:tab/>
          </w:r>
          <w:r>
            <w:fldChar w:fldCharType="begin"/>
          </w:r>
          <w:r>
            <w:instrText xml:space="preserve"> PAGEREF _Toc1926461863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_Toc433585622 </w:instrText>
          </w:r>
          <w:r>
            <w:fldChar w:fldCharType="separate"/>
          </w:r>
          <w:r>
            <w:rPr>
              <w:rFonts w:hint="eastAsia"/>
            </w:rPr>
            <w:t>1 资源</w:t>
          </w:r>
          <w:r>
            <w:t>概况</w:t>
          </w:r>
          <w:r>
            <w:tab/>
          </w:r>
          <w:r>
            <w:fldChar w:fldCharType="begin"/>
          </w:r>
          <w:r>
            <w:instrText xml:space="preserve"> PAGEREF _Toc433585622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_Toc861534683 </w:instrText>
          </w:r>
          <w:r>
            <w:fldChar w:fldCharType="separate"/>
          </w:r>
          <w:r>
            <w:rPr>
              <w:rFonts w:hint="eastAsia"/>
            </w:rPr>
            <w:t>1.1. 资源类型</w:t>
          </w:r>
          <w:r>
            <w:tab/>
          </w:r>
          <w:r>
            <w:fldChar w:fldCharType="begin"/>
          </w:r>
          <w:r>
            <w:instrText xml:space="preserve"> PAGEREF _Toc861534683 \h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_Toc1478669107 </w:instrText>
          </w:r>
          <w:r>
            <w:fldChar w:fldCharType="separate"/>
          </w:r>
          <w:r>
            <w:rPr>
              <w:rFonts w:hint="eastAsia"/>
            </w:rPr>
            <w:t>2 平台特色</w:t>
          </w:r>
          <w:r>
            <w:tab/>
          </w:r>
          <w:r>
            <w:fldChar w:fldCharType="begin"/>
          </w:r>
          <w:r>
            <w:instrText xml:space="preserve"> PAGEREF _Toc1478669107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_Toc1310918265 </w:instrText>
          </w:r>
          <w:r>
            <w:fldChar w:fldCharType="separate"/>
          </w:r>
          <w:r>
            <w:rPr>
              <w:rFonts w:hint="eastAsia" w:ascii="仿宋" w:hAnsi="仿宋" w:eastAsia="仿宋"/>
              <w:szCs w:val="28"/>
            </w:rPr>
            <w:t xml:space="preserve">2.1 </w:t>
          </w:r>
          <w:r>
            <w:rPr>
              <w:rFonts w:ascii="仿宋" w:hAnsi="仿宋" w:eastAsia="仿宋"/>
              <w:szCs w:val="28"/>
            </w:rPr>
            <w:t>学术检索的强力入口</w:t>
          </w:r>
          <w:r>
            <w:tab/>
          </w:r>
          <w:r>
            <w:fldChar w:fldCharType="begin"/>
          </w:r>
          <w:r>
            <w:instrText xml:space="preserve"> PAGEREF _Toc1310918265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_Toc1568545282 </w:instrText>
          </w:r>
          <w:r>
            <w:fldChar w:fldCharType="separate"/>
          </w:r>
          <w:r>
            <w:rPr>
              <w:rFonts w:hint="eastAsia" w:ascii="仿宋" w:hAnsi="仿宋" w:eastAsia="仿宋"/>
              <w:szCs w:val="28"/>
            </w:rPr>
            <w:t xml:space="preserve">2.2 </w:t>
          </w:r>
          <w:r>
            <w:rPr>
              <w:rFonts w:ascii="仿宋" w:hAnsi="仿宋" w:eastAsia="仿宋"/>
              <w:szCs w:val="28"/>
            </w:rPr>
            <w:t>多粒度的资源揭示</w:t>
          </w:r>
          <w:r>
            <w:tab/>
          </w:r>
          <w:r>
            <w:fldChar w:fldCharType="begin"/>
          </w:r>
          <w:r>
            <w:instrText xml:space="preserve"> PAGEREF _Toc1568545282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_Toc31304002 </w:instrText>
          </w:r>
          <w:r>
            <w:fldChar w:fldCharType="separate"/>
          </w:r>
          <w:r>
            <w:rPr>
              <w:rFonts w:hint="eastAsia" w:ascii="仿宋" w:hAnsi="仿宋" w:eastAsia="仿宋"/>
              <w:szCs w:val="28"/>
            </w:rPr>
            <w:t xml:space="preserve">2.3 </w:t>
          </w:r>
          <w:r>
            <w:rPr>
              <w:rFonts w:ascii="仿宋" w:hAnsi="仿宋" w:eastAsia="仿宋"/>
              <w:szCs w:val="28"/>
            </w:rPr>
            <w:t>智能化的检索推荐</w:t>
          </w:r>
          <w:r>
            <w:tab/>
          </w:r>
          <w:r>
            <w:fldChar w:fldCharType="begin"/>
          </w:r>
          <w:r>
            <w:instrText xml:space="preserve"> PAGEREF _Toc31304002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_Toc2140351746 </w:instrText>
          </w:r>
          <w:r>
            <w:fldChar w:fldCharType="separate"/>
          </w:r>
          <w:r>
            <w:rPr>
              <w:rFonts w:hint="eastAsia" w:ascii="仿宋" w:hAnsi="仿宋" w:eastAsia="仿宋"/>
              <w:szCs w:val="28"/>
            </w:rPr>
            <w:t>2.4 多种来源的文献</w:t>
          </w:r>
          <w:r>
            <w:rPr>
              <w:rFonts w:ascii="仿宋" w:hAnsi="仿宋" w:eastAsia="仿宋"/>
              <w:szCs w:val="28"/>
            </w:rPr>
            <w:t>获取保障</w:t>
          </w:r>
          <w:r>
            <w:tab/>
          </w:r>
          <w:r>
            <w:fldChar w:fldCharType="begin"/>
          </w:r>
          <w:r>
            <w:instrText xml:space="preserve"> PAGEREF _Toc2140351746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_Toc393224125 </w:instrText>
          </w:r>
          <w:r>
            <w:fldChar w:fldCharType="separate"/>
          </w:r>
          <w:r>
            <w:rPr>
              <w:rFonts w:hint="eastAsia" w:ascii="仿宋" w:hAnsi="仿宋" w:eastAsia="仿宋"/>
              <w:szCs w:val="28"/>
            </w:rPr>
            <w:t xml:space="preserve">2.5 </w:t>
          </w:r>
          <w:r>
            <w:rPr>
              <w:rFonts w:ascii="仿宋" w:hAnsi="仿宋" w:eastAsia="仿宋"/>
              <w:szCs w:val="28"/>
            </w:rPr>
            <w:t>可视化的关联分析</w:t>
          </w:r>
          <w:r>
            <w:tab/>
          </w:r>
          <w:r>
            <w:fldChar w:fldCharType="begin"/>
          </w:r>
          <w:r>
            <w:instrText xml:space="preserve"> PAGEREF _Toc393224125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_Toc1110687056 </w:instrText>
          </w:r>
          <w:r>
            <w:fldChar w:fldCharType="separate"/>
          </w:r>
          <w:r>
            <w:rPr>
              <w:rFonts w:hint="eastAsia" w:ascii="仿宋" w:hAnsi="仿宋" w:eastAsia="仿宋"/>
              <w:szCs w:val="28"/>
            </w:rPr>
            <w:t xml:space="preserve">2.6 </w:t>
          </w:r>
          <w:r>
            <w:rPr>
              <w:rFonts w:ascii="仿宋" w:hAnsi="仿宋" w:eastAsia="仿宋"/>
              <w:szCs w:val="28"/>
            </w:rPr>
            <w:t>全新的学术评价体系</w:t>
          </w:r>
          <w:r>
            <w:tab/>
          </w:r>
          <w:r>
            <w:fldChar w:fldCharType="begin"/>
          </w:r>
          <w:r>
            <w:instrText xml:space="preserve"> PAGEREF _Toc1110687056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_Toc1389490468 </w:instrText>
          </w:r>
          <w:r>
            <w:fldChar w:fldCharType="separate"/>
          </w:r>
          <w:r>
            <w:rPr>
              <w:rFonts w:hint="eastAsia" w:ascii="仿宋" w:hAnsi="仿宋" w:eastAsia="仿宋"/>
              <w:szCs w:val="28"/>
            </w:rPr>
            <w:t>2.7 友好无缝的交互体验</w:t>
          </w:r>
          <w:r>
            <w:tab/>
          </w:r>
          <w:r>
            <w:fldChar w:fldCharType="begin"/>
          </w:r>
          <w:r>
            <w:instrText xml:space="preserve"> PAGEREF _Toc1389490468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_Toc1429118198 </w:instrText>
          </w:r>
          <w:r>
            <w:fldChar w:fldCharType="separate"/>
          </w:r>
          <w:r>
            <w:rPr>
              <w:rFonts w:hint="eastAsia" w:ascii="仿宋" w:hAnsi="仿宋" w:eastAsia="仿宋"/>
              <w:szCs w:val="28"/>
            </w:rPr>
            <w:t xml:space="preserve">2.8 </w:t>
          </w:r>
          <w:r>
            <w:rPr>
              <w:rFonts w:ascii="仿宋" w:hAnsi="仿宋" w:eastAsia="仿宋"/>
              <w:szCs w:val="28"/>
            </w:rPr>
            <w:t>尊重与保护知识产权</w:t>
          </w:r>
          <w:r>
            <w:tab/>
          </w:r>
          <w:r>
            <w:fldChar w:fldCharType="begin"/>
          </w:r>
          <w:r>
            <w:instrText xml:space="preserve"> PAGEREF _Toc1429118198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_Toc1732445738 </w:instrText>
          </w:r>
          <w:r>
            <w:fldChar w:fldCharType="separate"/>
          </w:r>
          <w:r>
            <w:rPr>
              <w:rFonts w:hint="eastAsia" w:ascii="Calibri" w:hAnsi="Calibri" w:eastAsia="宋体" w:cs="Times New Roman"/>
            </w:rPr>
            <w:t>第二部分 使用帮助</w:t>
          </w:r>
          <w:r>
            <w:tab/>
          </w:r>
          <w:r>
            <w:fldChar w:fldCharType="begin"/>
          </w:r>
          <w:r>
            <w:instrText xml:space="preserve"> PAGEREF _Toc1732445738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_Toc1632232540 </w:instrText>
          </w:r>
          <w:r>
            <w:fldChar w:fldCharType="separate"/>
          </w:r>
          <w:r>
            <w:t xml:space="preserve">1 </w:t>
          </w:r>
          <w:r>
            <w:rPr>
              <w:rFonts w:hint="eastAsia"/>
            </w:rPr>
            <w:t>资源检索</w:t>
          </w:r>
          <w:r>
            <w:tab/>
          </w:r>
          <w:r>
            <w:fldChar w:fldCharType="begin"/>
          </w:r>
          <w:r>
            <w:instrText xml:space="preserve"> PAGEREF _Toc1632232540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_Toc976193002 </w:instrText>
          </w:r>
          <w:r>
            <w:fldChar w:fldCharType="separate"/>
          </w:r>
          <w:r>
            <w:rPr>
              <w:rFonts w:hint="eastAsia"/>
            </w:rPr>
            <w:t>1.1 统一检索</w:t>
          </w:r>
          <w:r>
            <w:tab/>
          </w:r>
          <w:r>
            <w:fldChar w:fldCharType="begin"/>
          </w:r>
          <w:r>
            <w:instrText xml:space="preserve"> PAGEREF _Toc976193002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_Toc100721534 </w:instrText>
          </w:r>
          <w:r>
            <w:fldChar w:fldCharType="separate"/>
          </w:r>
          <w:r>
            <w:rPr>
              <w:rFonts w:hint="eastAsia"/>
            </w:rPr>
            <w:t>1.2 分类</w:t>
          </w:r>
          <w:r>
            <w:t>检索</w:t>
          </w:r>
          <w:r>
            <w:tab/>
          </w:r>
          <w:r>
            <w:fldChar w:fldCharType="begin"/>
          </w:r>
          <w:r>
            <w:instrText xml:space="preserve"> PAGEREF _Toc100721534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_Toc609708102 </w:instrText>
          </w:r>
          <w:r>
            <w:fldChar w:fldCharType="separate"/>
          </w:r>
          <w:r>
            <w:rPr>
              <w:rFonts w:hint="eastAsia"/>
            </w:rPr>
            <w:t>1.3 高级检索</w:t>
          </w:r>
          <w:r>
            <w:tab/>
          </w:r>
          <w:r>
            <w:fldChar w:fldCharType="begin"/>
          </w:r>
          <w:r>
            <w:instrText xml:space="preserve"> PAGEREF _Toc609708102 \h </w:instrText>
          </w:r>
          <w:r>
            <w:fldChar w:fldCharType="separate"/>
          </w:r>
          <w:r>
            <w:t>14</w:t>
          </w:r>
          <w:r>
            <w:fldChar w:fldCharType="end"/>
          </w:r>
          <w:r>
            <w:fldChar w:fldCharType="end"/>
          </w:r>
        </w:p>
        <w:p>
          <w:pPr>
            <w:pStyle w:val="10"/>
            <w:tabs>
              <w:tab w:val="right" w:leader="dot" w:pos="8306"/>
            </w:tabs>
          </w:pPr>
          <w:r>
            <w:fldChar w:fldCharType="begin"/>
          </w:r>
          <w:r>
            <w:instrText xml:space="preserve"> HYPERLINK \l _Toc1719590477 </w:instrText>
          </w:r>
          <w:r>
            <w:fldChar w:fldCharType="separate"/>
          </w:r>
          <w:r>
            <w:rPr>
              <w:rFonts w:hint="eastAsia"/>
            </w:rPr>
            <w:t>1.4 专业检索</w:t>
          </w:r>
          <w:r>
            <w:tab/>
          </w:r>
          <w:r>
            <w:fldChar w:fldCharType="begin"/>
          </w:r>
          <w:r>
            <w:instrText xml:space="preserve"> PAGEREF _Toc1719590477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_Toc322225613 </w:instrText>
          </w:r>
          <w:r>
            <w:fldChar w:fldCharType="separate"/>
          </w:r>
          <w:r>
            <w:rPr>
              <w:rFonts w:hint="eastAsia"/>
            </w:rPr>
            <w:t xml:space="preserve">1.5 </w:t>
          </w:r>
          <w:r>
            <w:t>作者发文</w:t>
          </w:r>
          <w:r>
            <w:rPr>
              <w:rFonts w:hint="eastAsia"/>
            </w:rPr>
            <w:t>检索</w:t>
          </w:r>
          <w:r>
            <w:tab/>
          </w:r>
          <w:r>
            <w:fldChar w:fldCharType="begin"/>
          </w:r>
          <w:r>
            <w:instrText xml:space="preserve"> PAGEREF _Toc322225613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_Toc1839603604 </w:instrText>
          </w:r>
          <w:r>
            <w:fldChar w:fldCharType="separate"/>
          </w:r>
          <w:r>
            <w:rPr>
              <w:rFonts w:hint="eastAsia"/>
            </w:rPr>
            <w:t>1.6 智能检索</w:t>
          </w:r>
          <w:r>
            <w:tab/>
          </w:r>
          <w:r>
            <w:fldChar w:fldCharType="begin"/>
          </w:r>
          <w:r>
            <w:instrText xml:space="preserve"> PAGEREF _Toc1839603604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_Toc895706569 </w:instrText>
          </w:r>
          <w:r>
            <w:fldChar w:fldCharType="separate"/>
          </w:r>
          <w:r>
            <w:rPr>
              <w:rFonts w:hint="eastAsia"/>
            </w:rPr>
            <w:t>1.7 智能识别</w:t>
          </w:r>
          <w:r>
            <w:tab/>
          </w:r>
          <w:r>
            <w:fldChar w:fldCharType="begin"/>
          </w:r>
          <w:r>
            <w:instrText xml:space="preserve"> PAGEREF _Toc895706569 \h </w:instrText>
          </w:r>
          <w:r>
            <w:fldChar w:fldCharType="separate"/>
          </w:r>
          <w:r>
            <w:t>18</w:t>
          </w:r>
          <w:r>
            <w:fldChar w:fldCharType="end"/>
          </w:r>
          <w:r>
            <w:fldChar w:fldCharType="end"/>
          </w:r>
        </w:p>
        <w:p>
          <w:pPr>
            <w:pStyle w:val="10"/>
            <w:tabs>
              <w:tab w:val="right" w:leader="dot" w:pos="8306"/>
            </w:tabs>
          </w:pPr>
          <w:r>
            <w:fldChar w:fldCharType="begin"/>
          </w:r>
          <w:r>
            <w:instrText xml:space="preserve"> HYPERLINK \l _Toc279939713 </w:instrText>
          </w:r>
          <w:r>
            <w:fldChar w:fldCharType="separate"/>
          </w:r>
          <w:r>
            <w:rPr>
              <w:rFonts w:hint="eastAsia"/>
            </w:rPr>
            <w:t>1.8 二次</w:t>
          </w:r>
          <w:r>
            <w:t>检索</w:t>
          </w:r>
          <w:r>
            <w:tab/>
          </w:r>
          <w:r>
            <w:fldChar w:fldCharType="begin"/>
          </w:r>
          <w:r>
            <w:instrText xml:space="preserve"> PAGEREF _Toc279939713 \h </w:instrText>
          </w:r>
          <w:r>
            <w:fldChar w:fldCharType="separate"/>
          </w:r>
          <w:r>
            <w:t>18</w:t>
          </w:r>
          <w:r>
            <w:fldChar w:fldCharType="end"/>
          </w:r>
          <w:r>
            <w:fldChar w:fldCharType="end"/>
          </w:r>
        </w:p>
        <w:p>
          <w:pPr>
            <w:pStyle w:val="10"/>
            <w:tabs>
              <w:tab w:val="right" w:leader="dot" w:pos="8306"/>
            </w:tabs>
          </w:pPr>
          <w:r>
            <w:fldChar w:fldCharType="begin"/>
          </w:r>
          <w:r>
            <w:instrText xml:space="preserve"> HYPERLINK \l _Toc1957569461 </w:instrText>
          </w:r>
          <w:r>
            <w:fldChar w:fldCharType="separate"/>
          </w:r>
          <w:r>
            <w:rPr>
              <w:rFonts w:hint="eastAsia"/>
            </w:rPr>
            <w:t>1.9 检索历史</w:t>
          </w:r>
          <w:r>
            <w:tab/>
          </w:r>
          <w:r>
            <w:fldChar w:fldCharType="begin"/>
          </w:r>
          <w:r>
            <w:instrText xml:space="preserve"> PAGEREF _Toc1957569461 \h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_Toc1420458987 </w:instrText>
          </w:r>
          <w:r>
            <w:fldChar w:fldCharType="separate"/>
          </w:r>
          <w:r>
            <w:rPr>
              <w:rFonts w:hint="eastAsia"/>
            </w:rPr>
            <w:t>2 检索结果</w:t>
          </w:r>
          <w:r>
            <w:tab/>
          </w:r>
          <w:r>
            <w:fldChar w:fldCharType="begin"/>
          </w:r>
          <w:r>
            <w:instrText xml:space="preserve"> PAGEREF _Toc1420458987 \h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_Toc78490810 </w:instrText>
          </w:r>
          <w:r>
            <w:fldChar w:fldCharType="separate"/>
          </w:r>
          <w:r>
            <w:rPr>
              <w:rFonts w:hint="eastAsia"/>
            </w:rPr>
            <w:t>2.1 结果展示</w:t>
          </w:r>
          <w:r>
            <w:tab/>
          </w:r>
          <w:r>
            <w:fldChar w:fldCharType="begin"/>
          </w:r>
          <w:r>
            <w:instrText xml:space="preserve"> PAGEREF _Toc78490810 \h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_Toc640084412 </w:instrText>
          </w:r>
          <w:r>
            <w:fldChar w:fldCharType="separate"/>
          </w:r>
          <w:r>
            <w:rPr>
              <w:rFonts w:hint="eastAsia"/>
            </w:rPr>
            <w:t>2.2 结果排序</w:t>
          </w:r>
          <w:r>
            <w:tab/>
          </w:r>
          <w:r>
            <w:fldChar w:fldCharType="begin"/>
          </w:r>
          <w:r>
            <w:instrText xml:space="preserve"> PAGEREF _Toc640084412 \h </w:instrText>
          </w:r>
          <w:r>
            <w:fldChar w:fldCharType="separate"/>
          </w:r>
          <w:r>
            <w:t>21</w:t>
          </w:r>
          <w:r>
            <w:fldChar w:fldCharType="end"/>
          </w:r>
          <w:r>
            <w:fldChar w:fldCharType="end"/>
          </w:r>
        </w:p>
        <w:p>
          <w:pPr>
            <w:pStyle w:val="10"/>
            <w:tabs>
              <w:tab w:val="right" w:leader="dot" w:pos="8306"/>
            </w:tabs>
          </w:pPr>
          <w:r>
            <w:fldChar w:fldCharType="begin"/>
          </w:r>
          <w:r>
            <w:instrText xml:space="preserve"> HYPERLINK \l _Toc1153124661 </w:instrText>
          </w:r>
          <w:r>
            <w:fldChar w:fldCharType="separate"/>
          </w:r>
          <w:r>
            <w:rPr>
              <w:rFonts w:hint="eastAsia"/>
            </w:rPr>
            <w:t>2.3 结果</w:t>
          </w:r>
          <w:r>
            <w:t>聚类</w:t>
          </w:r>
          <w:r>
            <w:tab/>
          </w:r>
          <w:r>
            <w:fldChar w:fldCharType="begin"/>
          </w:r>
          <w:r>
            <w:instrText xml:space="preserve"> PAGEREF _Toc1153124661 \h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_Toc1673746899 </w:instrText>
          </w:r>
          <w:r>
            <w:fldChar w:fldCharType="separate"/>
          </w:r>
          <w:r>
            <w:rPr>
              <w:rFonts w:hint="eastAsia"/>
            </w:rPr>
            <w:t>2.4 结果</w:t>
          </w:r>
          <w:r>
            <w:t>限定</w:t>
          </w:r>
          <w:r>
            <w:tab/>
          </w:r>
          <w:r>
            <w:fldChar w:fldCharType="begin"/>
          </w:r>
          <w:r>
            <w:instrText xml:space="preserve"> PAGEREF _Toc1673746899 \h </w:instrText>
          </w:r>
          <w:r>
            <w:fldChar w:fldCharType="separate"/>
          </w:r>
          <w:r>
            <w:t>24</w:t>
          </w:r>
          <w:r>
            <w:fldChar w:fldCharType="end"/>
          </w:r>
          <w:r>
            <w:fldChar w:fldCharType="end"/>
          </w:r>
        </w:p>
        <w:p>
          <w:pPr>
            <w:pStyle w:val="15"/>
            <w:tabs>
              <w:tab w:val="right" w:leader="dot" w:pos="8306"/>
            </w:tabs>
          </w:pPr>
          <w:r>
            <w:fldChar w:fldCharType="begin"/>
          </w:r>
          <w:r>
            <w:instrText xml:space="preserve"> HYPERLINK \l _Toc775839440 </w:instrText>
          </w:r>
          <w:r>
            <w:fldChar w:fldCharType="separate"/>
          </w:r>
          <w:r>
            <w:rPr>
              <w:rFonts w:hint="eastAsia"/>
            </w:rPr>
            <w:t>3 文献获取</w:t>
          </w:r>
          <w:r>
            <w:tab/>
          </w:r>
          <w:r>
            <w:fldChar w:fldCharType="begin"/>
          </w:r>
          <w:r>
            <w:instrText xml:space="preserve"> PAGEREF _Toc775839440 \h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_Toc12763496 </w:instrText>
          </w:r>
          <w:r>
            <w:fldChar w:fldCharType="separate"/>
          </w:r>
          <w:r>
            <w:rPr>
              <w:rFonts w:hint="eastAsia"/>
            </w:rPr>
            <w:t>3.1 在线阅读</w:t>
          </w:r>
          <w:r>
            <w:tab/>
          </w:r>
          <w:r>
            <w:fldChar w:fldCharType="begin"/>
          </w:r>
          <w:r>
            <w:instrText xml:space="preserve"> PAGEREF _Toc12763496 \h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_Toc1915196219 </w:instrText>
          </w:r>
          <w:r>
            <w:fldChar w:fldCharType="separate"/>
          </w:r>
          <w:r>
            <w:rPr>
              <w:rFonts w:hint="eastAsia"/>
            </w:rPr>
            <w:t>3.2 文献下载</w:t>
          </w:r>
          <w:r>
            <w:tab/>
          </w:r>
          <w:r>
            <w:fldChar w:fldCharType="begin"/>
          </w:r>
          <w:r>
            <w:instrText xml:space="preserve"> PAGEREF _Toc1915196219 \h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_Toc70467850 </w:instrText>
          </w:r>
          <w:r>
            <w:fldChar w:fldCharType="separate"/>
          </w:r>
          <w:r>
            <w:rPr>
              <w:rFonts w:hint="eastAsia"/>
            </w:rPr>
            <w:t>3.3 多来源获取</w:t>
          </w:r>
          <w:r>
            <w:tab/>
          </w:r>
          <w:r>
            <w:fldChar w:fldCharType="begin"/>
          </w:r>
          <w:r>
            <w:instrText xml:space="preserve"> PAGEREF _Toc70467850 \h </w:instrText>
          </w:r>
          <w:r>
            <w:fldChar w:fldCharType="separate"/>
          </w:r>
          <w:r>
            <w:t>27</w:t>
          </w:r>
          <w:r>
            <w:fldChar w:fldCharType="end"/>
          </w:r>
          <w:r>
            <w:fldChar w:fldCharType="end"/>
          </w:r>
        </w:p>
        <w:p>
          <w:pPr>
            <w:pStyle w:val="10"/>
            <w:tabs>
              <w:tab w:val="right" w:leader="dot" w:pos="8306"/>
            </w:tabs>
          </w:pPr>
          <w:r>
            <w:fldChar w:fldCharType="begin"/>
          </w:r>
          <w:r>
            <w:instrText xml:space="preserve"> HYPERLINK \l _Toc1089665453 </w:instrText>
          </w:r>
          <w:r>
            <w:fldChar w:fldCharType="separate"/>
          </w:r>
          <w:r>
            <w:rPr>
              <w:rFonts w:hint="eastAsia"/>
            </w:rPr>
            <w:t>3.4 国内外文献保障</w:t>
          </w:r>
          <w:r>
            <w:tab/>
          </w:r>
          <w:r>
            <w:fldChar w:fldCharType="begin"/>
          </w:r>
          <w:r>
            <w:instrText xml:space="preserve"> PAGEREF _Toc1089665453 \h </w:instrText>
          </w:r>
          <w:r>
            <w:fldChar w:fldCharType="separate"/>
          </w:r>
          <w:r>
            <w:t>28</w:t>
          </w:r>
          <w:r>
            <w:fldChar w:fldCharType="end"/>
          </w:r>
          <w:r>
            <w:fldChar w:fldCharType="end"/>
          </w:r>
        </w:p>
        <w:p>
          <w:r>
            <w:fldChar w:fldCharType="end"/>
          </w:r>
        </w:p>
      </w:sdtContent>
    </w:sdt>
    <w:p>
      <w:pPr>
        <w:widowControl/>
        <w:jc w:val="left"/>
        <w:rPr>
          <w:kern w:val="44"/>
          <w:sz w:val="44"/>
          <w:szCs w:val="44"/>
        </w:rPr>
      </w:pPr>
      <w:r>
        <w:rPr>
          <w:kern w:val="44"/>
          <w:sz w:val="44"/>
          <w:szCs w:val="44"/>
        </w:rPr>
        <w:br w:type="page"/>
      </w:r>
    </w:p>
    <w:bookmarkEnd w:id="1"/>
    <w:p>
      <w:pPr>
        <w:pStyle w:val="2"/>
        <w:spacing w:after="400" w:line="576" w:lineRule="auto"/>
        <w:jc w:val="center"/>
        <w:rPr>
          <w:rFonts w:ascii="Calibri" w:hAnsi="Calibri" w:eastAsia="宋体" w:cs="Times New Roman"/>
        </w:rPr>
      </w:pPr>
      <w:bookmarkStart w:id="3" w:name="_Toc10620652"/>
      <w:bookmarkStart w:id="4" w:name="_Toc1926461863"/>
      <w:bookmarkStart w:id="5" w:name="_Toc480821390"/>
      <w:bookmarkStart w:id="6" w:name="_Toc480043851"/>
      <w:r>
        <w:rPr>
          <w:rFonts w:hint="eastAsia" w:ascii="Calibri" w:hAnsi="Calibri" w:eastAsia="宋体" w:cs="Times New Roman"/>
        </w:rPr>
        <w:t>第一部分 概述</w:t>
      </w:r>
      <w:bookmarkEnd w:id="3"/>
      <w:bookmarkEnd w:id="4"/>
      <w:bookmarkEnd w:id="5"/>
    </w:p>
    <w:p>
      <w:pPr>
        <w:pStyle w:val="3"/>
        <w:numPr>
          <w:ilvl w:val="0"/>
          <w:numId w:val="3"/>
        </w:numPr>
      </w:pPr>
      <w:bookmarkStart w:id="7" w:name="_Toc861534683"/>
      <w:bookmarkStart w:id="8" w:name="_Toc10620654"/>
      <w:r>
        <w:rPr>
          <w:rFonts w:hint="eastAsia"/>
        </w:rPr>
        <w:t>资源类型</w:t>
      </w:r>
      <w:bookmarkEnd w:id="7"/>
      <w:bookmarkEnd w:id="8"/>
    </w:p>
    <w:p>
      <w:pPr>
        <w:pStyle w:val="4"/>
        <w:numPr>
          <w:ilvl w:val="0"/>
          <w:numId w:val="4"/>
        </w:numPr>
        <w:ind w:left="426"/>
      </w:pPr>
      <w:r>
        <w:rPr>
          <w:rFonts w:hint="eastAsia"/>
        </w:rPr>
        <w:t>期刊</w:t>
      </w:r>
    </w:p>
    <w:p>
      <w:pPr>
        <w:ind w:firstLine="420"/>
      </w:pPr>
      <w:r>
        <w:rPr>
          <w:rFonts w:hint="eastAsia" w:ascii="仿宋" w:hAnsi="仿宋" w:eastAsia="仿宋"/>
          <w:color w:val="000000" w:themeColor="text1"/>
          <w:sz w:val="28"/>
          <w:szCs w:val="28"/>
          <w14:textFill>
            <w14:solidFill>
              <w14:schemeClr w14:val="tx1"/>
            </w14:solidFill>
          </w14:textFill>
        </w:rPr>
        <w:t>期刊资源包括中文期刊和外文期刊，其中中文期刊共</w:t>
      </w:r>
      <w:r>
        <w:rPr>
          <w:rFonts w:hint="default" w:ascii="仿宋" w:hAnsi="仿宋" w:eastAsia="仿宋"/>
          <w:color w:val="000000" w:themeColor="text1"/>
          <w:sz w:val="28"/>
          <w:szCs w:val="28"/>
          <w14:textFill>
            <w14:solidFill>
              <w14:schemeClr w14:val="tx1"/>
            </w14:solidFill>
          </w14:textFill>
        </w:rPr>
        <w:t>8</w:t>
      </w:r>
      <w:r>
        <w:rPr>
          <w:rFonts w:hint="eastAsia" w:ascii="仿宋" w:hAnsi="仿宋" w:eastAsia="仿宋"/>
          <w:color w:val="000000" w:themeColor="text1"/>
          <w:sz w:val="28"/>
          <w:szCs w:val="28"/>
          <w14:textFill>
            <w14:solidFill>
              <w14:schemeClr w14:val="tx1"/>
            </w14:solidFill>
          </w14:textFill>
        </w:rPr>
        <w:t>000余种，基本覆盖各类核心来源期刊90%以上，涵盖自然科学、工程技术、医药卫生、农业科学、哲学政法、社会科学、科教文艺等多个学科；外文期刊主要来源于NSTL外文文献数据库以及数十家著名学术出版机构，及DOAJ、PubMed等知名开放获取平台，收录了世界各国出版的40000余种重要学术期刊。</w:t>
      </w:r>
    </w:p>
    <w:p>
      <w:pPr>
        <w:pStyle w:val="4"/>
        <w:numPr>
          <w:ilvl w:val="0"/>
          <w:numId w:val="4"/>
        </w:numPr>
        <w:ind w:left="426"/>
      </w:pPr>
      <w:r>
        <w:rPr>
          <w:rFonts w:hint="eastAsia"/>
        </w:rPr>
        <w:t>学位</w:t>
      </w:r>
    </w:p>
    <w:p>
      <w:pPr>
        <w:ind w:firstLine="420"/>
        <w:rPr>
          <w:rFonts w:ascii="仿宋" w:hAnsi="仿宋" w:eastAsia="仿宋"/>
          <w:sz w:val="28"/>
          <w:szCs w:val="28"/>
        </w:rPr>
      </w:pPr>
      <w:r>
        <w:rPr>
          <w:rFonts w:hint="eastAsia" w:ascii="仿宋" w:hAnsi="仿宋" w:eastAsia="仿宋"/>
          <w:sz w:val="28"/>
          <w:szCs w:val="28"/>
        </w:rPr>
        <w:t>学位论文资源包括中文学位论文和外文学位论文，中文学位论文收录始于1980年，收录中文学位论文全文</w:t>
      </w:r>
      <w:r>
        <w:rPr>
          <w:rFonts w:hint="eastAsia" w:ascii="仿宋" w:hAnsi="仿宋" w:eastAsia="仿宋"/>
          <w:sz w:val="28"/>
          <w:szCs w:val="28"/>
          <w:lang w:val="en-US" w:eastAsia="zh-CN"/>
        </w:rPr>
        <w:t>570</w:t>
      </w:r>
      <w:r>
        <w:rPr>
          <w:rFonts w:hint="eastAsia" w:ascii="仿宋" w:hAnsi="仿宋" w:eastAsia="仿宋"/>
          <w:sz w:val="28"/>
          <w:szCs w:val="28"/>
        </w:rPr>
        <w:t>余万篇，年增3</w:t>
      </w:r>
      <w:r>
        <w:rPr>
          <w:rFonts w:hint="eastAsia" w:ascii="仿宋" w:hAnsi="仿宋" w:eastAsia="仿宋"/>
          <w:sz w:val="28"/>
          <w:szCs w:val="28"/>
          <w:lang w:val="en-US" w:eastAsia="zh-CN"/>
        </w:rPr>
        <w:t>5</w:t>
      </w:r>
      <w:r>
        <w:rPr>
          <w:rFonts w:hint="eastAsia" w:ascii="仿宋" w:hAnsi="仿宋" w:eastAsia="仿宋"/>
          <w:sz w:val="28"/>
          <w:szCs w:val="28"/>
        </w:rPr>
        <w:t>万余篇，涵盖理学、工业技术、人文科学、社会科学、医药卫生、农业科学、交通运输、航空航天、环境科学等各学科领域；外文学位论文收录始于1983年，累计收藏60余万册，年增量6万册。</w:t>
      </w:r>
    </w:p>
    <w:p>
      <w:pPr>
        <w:pStyle w:val="26"/>
        <w:ind w:firstLine="0" w:firstLineChars="0"/>
      </w:pPr>
    </w:p>
    <w:p>
      <w:pPr>
        <w:pStyle w:val="3"/>
      </w:pPr>
      <w:bookmarkStart w:id="9" w:name="_Toc1478669107"/>
      <w:bookmarkStart w:id="10" w:name="_Toc10620656"/>
      <w:r>
        <w:rPr>
          <w:rFonts w:hint="eastAsia"/>
        </w:rPr>
        <w:t>平台特色</w:t>
      </w:r>
      <w:bookmarkEnd w:id="6"/>
      <w:bookmarkEnd w:id="9"/>
      <w:bookmarkEnd w:id="10"/>
    </w:p>
    <w:p>
      <w:pPr>
        <w:pStyle w:val="33"/>
        <w:numPr>
          <w:ilvl w:val="0"/>
          <w:numId w:val="5"/>
        </w:numPr>
        <w:spacing w:line="360" w:lineRule="auto"/>
        <w:ind w:firstLineChars="0"/>
        <w:outlineLvl w:val="2"/>
        <w:rPr>
          <w:rFonts w:ascii="仿宋" w:hAnsi="仿宋" w:eastAsia="仿宋"/>
          <w:b/>
          <w:sz w:val="28"/>
          <w:szCs w:val="28"/>
        </w:rPr>
      </w:pPr>
      <w:bookmarkStart w:id="11" w:name="_Toc10620657"/>
      <w:bookmarkStart w:id="12" w:name="_Toc1310918265"/>
      <w:r>
        <w:rPr>
          <w:rFonts w:ascii="仿宋" w:hAnsi="仿宋" w:eastAsia="仿宋"/>
          <w:b/>
          <w:sz w:val="28"/>
          <w:szCs w:val="28"/>
        </w:rPr>
        <w:t>学术检索的强力入口</w:t>
      </w:r>
      <w:bookmarkEnd w:id="11"/>
      <w:bookmarkEnd w:id="12"/>
    </w:p>
    <w:p>
      <w:pPr>
        <w:spacing w:line="360" w:lineRule="auto"/>
        <w:ind w:firstLine="560" w:firstLineChars="200"/>
        <w:rPr>
          <w:rFonts w:ascii="仿宋" w:hAnsi="仿宋" w:eastAsia="仿宋"/>
          <w:sz w:val="28"/>
          <w:szCs w:val="28"/>
        </w:rPr>
      </w:pPr>
      <w:r>
        <w:rPr>
          <w:rFonts w:hint="eastAsia" w:ascii="仿宋" w:hAnsi="仿宋" w:eastAsia="仿宋"/>
          <w:sz w:val="28"/>
          <w:szCs w:val="28"/>
        </w:rPr>
        <w:t>通过对中国科学技术信息研究所、国家科技报告服务系统、泰勒·弗朗西斯期刊论文等5</w:t>
      </w:r>
      <w:r>
        <w:rPr>
          <w:rFonts w:ascii="仿宋" w:hAnsi="仿宋" w:eastAsia="仿宋"/>
          <w:sz w:val="28"/>
          <w:szCs w:val="28"/>
        </w:rPr>
        <w:t>0多家学术文献服务商或出版平台的</w:t>
      </w:r>
      <w:r>
        <w:rPr>
          <w:rFonts w:hint="eastAsia" w:ascii="仿宋" w:hAnsi="仿宋" w:eastAsia="仿宋"/>
          <w:sz w:val="28"/>
          <w:szCs w:val="28"/>
        </w:rPr>
        <w:t>学术</w:t>
      </w:r>
      <w:r>
        <w:rPr>
          <w:rFonts w:ascii="仿宋" w:hAnsi="仿宋" w:eastAsia="仿宋"/>
          <w:sz w:val="28"/>
          <w:szCs w:val="28"/>
        </w:rPr>
        <w:t>文献进行整合</w:t>
      </w:r>
      <w:r>
        <w:rPr>
          <w:rFonts w:hint="eastAsia" w:ascii="仿宋" w:hAnsi="仿宋" w:eastAsia="仿宋"/>
          <w:sz w:val="28"/>
          <w:szCs w:val="28"/>
        </w:rPr>
        <w:t>，为用户提供统一、高效、精准的中外文学术资源检索发现服务，打造信息总量多、覆盖范围广、内容质量优、服务方式全的学术检索发现基地，持续提升用户的知识获取与利用能力。</w:t>
      </w:r>
    </w:p>
    <w:p>
      <w:pPr>
        <w:spacing w:line="360" w:lineRule="auto"/>
        <w:rPr>
          <w:rFonts w:ascii="仿宋" w:hAnsi="仿宋" w:eastAsia="仿宋"/>
          <w:b/>
          <w:sz w:val="28"/>
          <w:szCs w:val="28"/>
        </w:rPr>
      </w:pPr>
      <w:r>
        <w:drawing>
          <wp:inline distT="0" distB="0" distL="0" distR="0">
            <wp:extent cx="5153025" cy="2326640"/>
            <wp:effectExtent l="9525" t="9525" r="19050"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153025" cy="2326640"/>
                    </a:xfrm>
                    <a:prstGeom prst="rect">
                      <a:avLst/>
                    </a:prstGeom>
                    <a:noFill/>
                    <a:ln w="9525">
                      <a:solidFill>
                        <a:schemeClr val="tx1"/>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13" w:name="_Toc1568545282"/>
      <w:bookmarkStart w:id="14" w:name="_Toc10620658"/>
      <w:r>
        <w:rPr>
          <w:rFonts w:ascii="仿宋" w:hAnsi="仿宋" w:eastAsia="仿宋"/>
          <w:b/>
          <w:sz w:val="28"/>
          <w:szCs w:val="28"/>
        </w:rPr>
        <w:t>多粒度的资源揭示</w:t>
      </w:r>
      <w:bookmarkEnd w:id="13"/>
      <w:bookmarkEnd w:id="14"/>
    </w:p>
    <w:p>
      <w:pPr>
        <w:spacing w:line="360" w:lineRule="auto"/>
        <w:ind w:firstLine="560" w:firstLineChars="200"/>
        <w:rPr>
          <w:rFonts w:ascii="仿宋" w:hAnsi="仿宋" w:eastAsia="仿宋"/>
          <w:sz w:val="28"/>
          <w:szCs w:val="28"/>
        </w:rPr>
      </w:pPr>
      <w:r>
        <w:rPr>
          <w:rFonts w:hint="eastAsia" w:ascii="仿宋" w:hAnsi="仿宋" w:eastAsia="仿宋"/>
          <w:sz w:val="28"/>
          <w:szCs w:val="28"/>
        </w:rPr>
        <w:t>依托主题词表与引文库建设，构建多维度、多层次、内容深度关联的知识组织脉络；支持检索结果的细化分层和多维聚类，帮助用户在海量资源中快速定位匹配结果</w:t>
      </w:r>
    </w:p>
    <w:p>
      <w:r>
        <w:drawing>
          <wp:inline distT="0" distB="0" distL="0" distR="0">
            <wp:extent cx="5274310" cy="5890260"/>
            <wp:effectExtent l="19050" t="19050" r="2159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74310" cy="5890260"/>
                    </a:xfrm>
                    <a:prstGeom prst="rect">
                      <a:avLst/>
                    </a:prstGeom>
                    <a:noFill/>
                    <a:ln w="9525">
                      <a:solidFill>
                        <a:schemeClr val="tx1"/>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15" w:name="_Toc31304002"/>
      <w:bookmarkStart w:id="16" w:name="_Toc10620659"/>
      <w:r>
        <w:rPr>
          <w:rFonts w:ascii="仿宋" w:hAnsi="仿宋" w:eastAsia="仿宋"/>
          <w:b/>
          <w:sz w:val="28"/>
          <w:szCs w:val="28"/>
        </w:rPr>
        <w:t>智能化的检索推荐</w:t>
      </w:r>
      <w:bookmarkEnd w:id="15"/>
      <w:bookmarkEnd w:id="16"/>
    </w:p>
    <w:p>
      <w:pPr>
        <w:spacing w:line="360" w:lineRule="auto"/>
        <w:ind w:firstLine="560" w:firstLineChars="200"/>
        <w:rPr>
          <w:rFonts w:ascii="仿宋" w:hAnsi="仿宋" w:eastAsia="仿宋"/>
          <w:sz w:val="28"/>
          <w:szCs w:val="28"/>
        </w:rPr>
      </w:pPr>
      <w:r>
        <w:rPr>
          <w:rFonts w:hint="eastAsia" w:ascii="仿宋" w:hAnsi="仿宋" w:eastAsia="仿宋"/>
          <w:sz w:val="28"/>
          <w:szCs w:val="28"/>
        </w:rPr>
        <w:t>提供跨语言检索、语义检索等多种智能检索方式。综合考虑用户使用情境、行为偏好、学科领域、教育背景等要素，实现智能排序调整与个性化推荐，帮助用户发现高学术价值的资源</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平台在高级检索和专业检索处新增智能检索方式，主要有中英文扩展检索和主题词扩展检索。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hAnsi="仿宋" w:eastAsia="仿宋"/>
          <w:sz w:val="28"/>
          <w:szCs w:val="28"/>
        </w:rPr>
        <w:t xml:space="preserve"> </w:t>
      </w:r>
    </w:p>
    <w:p>
      <w:pPr>
        <w:spacing w:line="360" w:lineRule="auto"/>
        <w:ind w:firstLine="560" w:firstLineChars="200"/>
        <w:rPr>
          <w:rFonts w:ascii="仿宋" w:hAnsi="仿宋" w:eastAsia="仿宋"/>
          <w:sz w:val="28"/>
          <w:szCs w:val="28"/>
        </w:rPr>
      </w:pPr>
      <w:r>
        <w:rPr>
          <w:rFonts w:ascii="仿宋" w:hAnsi="仿宋" w:eastAsia="仿宋"/>
          <w:sz w:val="28"/>
          <w:szCs w:val="28"/>
          <w:lang w:bidi="ar"/>
        </w:rPr>
        <w:t>同时，增加了作者发文检索，</w:t>
      </w:r>
      <w:r>
        <w:rPr>
          <w:rFonts w:ascii="仿宋" w:hAnsi="仿宋" w:eastAsia="仿宋"/>
          <w:color w:val="333333"/>
          <w:sz w:val="28"/>
          <w:szCs w:val="28"/>
          <w:lang w:bidi="ar"/>
        </w:rPr>
        <w:t>可以输入作者名称和作者单位等字段来精确查找相关作者的学术成果</w:t>
      </w:r>
      <w:r>
        <w:rPr>
          <w:rFonts w:ascii="仿宋" w:hAnsi="仿宋" w:eastAsia="仿宋"/>
          <w:sz w:val="28"/>
          <w:szCs w:val="28"/>
          <w:lang w:bidi="ar"/>
        </w:rPr>
        <w:t>。</w:t>
      </w:r>
    </w:p>
    <w:p>
      <w:pPr>
        <w:spacing w:line="360" w:lineRule="auto"/>
        <w:ind w:firstLine="560" w:firstLineChars="200"/>
        <w:rPr>
          <w:rFonts w:ascii="仿宋" w:hAnsi="仿宋" w:eastAsia="仿宋"/>
          <w:sz w:val="28"/>
          <w:szCs w:val="28"/>
        </w:rPr>
      </w:pPr>
    </w:p>
    <w:p>
      <w:pPr>
        <w:spacing w:line="360" w:lineRule="auto"/>
        <w:rPr>
          <w:rFonts w:ascii="仿宋" w:hAnsi="仿宋" w:eastAsia="仿宋"/>
          <w:b/>
          <w:sz w:val="28"/>
          <w:szCs w:val="28"/>
        </w:rPr>
      </w:pPr>
      <w:r>
        <w:drawing>
          <wp:inline distT="0" distB="0" distL="114300" distR="114300">
            <wp:extent cx="5090795" cy="5528310"/>
            <wp:effectExtent l="9525" t="9525" r="24130" b="247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090795" cy="5528310"/>
                    </a:xfrm>
                    <a:prstGeom prst="rect">
                      <a:avLst/>
                    </a:prstGeom>
                    <a:noFill/>
                    <a:ln>
                      <a:solidFill>
                        <a:schemeClr val="tx2"/>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17" w:name="_Toc2140351746"/>
      <w:bookmarkStart w:id="18" w:name="_Toc10620660"/>
      <w:r>
        <w:rPr>
          <w:rFonts w:hint="eastAsia" w:ascii="仿宋" w:hAnsi="仿宋" w:eastAsia="仿宋"/>
          <w:b/>
          <w:sz w:val="28"/>
          <w:szCs w:val="28"/>
        </w:rPr>
        <w:t>多种来源的文献</w:t>
      </w:r>
      <w:r>
        <w:rPr>
          <w:rFonts w:ascii="仿宋" w:hAnsi="仿宋" w:eastAsia="仿宋"/>
          <w:b/>
          <w:sz w:val="28"/>
          <w:szCs w:val="28"/>
        </w:rPr>
        <w:t>获取保障</w:t>
      </w:r>
      <w:bookmarkEnd w:id="17"/>
      <w:bookmarkEnd w:id="18"/>
    </w:p>
    <w:p>
      <w:pPr>
        <w:spacing w:line="360" w:lineRule="auto"/>
        <w:ind w:firstLine="560" w:firstLineChars="200"/>
        <w:rPr>
          <w:rFonts w:ascii="仿宋" w:hAnsi="仿宋" w:eastAsia="仿宋"/>
          <w:sz w:val="28"/>
          <w:szCs w:val="28"/>
        </w:rPr>
      </w:pPr>
      <w:r>
        <w:rPr>
          <w:rFonts w:ascii="仿宋" w:hAnsi="仿宋" w:eastAsia="仿宋"/>
          <w:sz w:val="28"/>
          <w:szCs w:val="28"/>
        </w:rPr>
        <w:t>在</w:t>
      </w:r>
      <w:r>
        <w:rPr>
          <w:rFonts w:hint="eastAsia" w:ascii="仿宋" w:hAnsi="仿宋" w:eastAsia="仿宋"/>
          <w:sz w:val="28"/>
          <w:szCs w:val="28"/>
        </w:rPr>
        <w:t>知识产权许可下，通过对中国科学技术信息研究所、国家科技报告服务系统、泰勒·弗朗西斯期刊论文等</w:t>
      </w:r>
      <w:r>
        <w:rPr>
          <w:rFonts w:ascii="仿宋" w:hAnsi="仿宋" w:eastAsia="仿宋"/>
          <w:sz w:val="28"/>
          <w:szCs w:val="28"/>
        </w:rPr>
        <w:t>50</w:t>
      </w:r>
      <w:r>
        <w:rPr>
          <w:rFonts w:hint="eastAsia" w:ascii="仿宋" w:hAnsi="仿宋" w:eastAsia="仿宋"/>
          <w:sz w:val="28"/>
          <w:szCs w:val="28"/>
        </w:rPr>
        <w:t>多家学术文献服务商或出版平台的文献进行整合，通过链接</w:t>
      </w:r>
      <w:r>
        <w:rPr>
          <w:rFonts w:ascii="仿宋" w:hAnsi="仿宋" w:eastAsia="仿宋"/>
          <w:sz w:val="28"/>
          <w:szCs w:val="28"/>
        </w:rPr>
        <w:t>解析</w:t>
      </w:r>
      <w:r>
        <w:rPr>
          <w:rFonts w:hint="eastAsia" w:ascii="仿宋" w:hAnsi="仿宋" w:eastAsia="仿宋"/>
          <w:sz w:val="28"/>
          <w:szCs w:val="28"/>
        </w:rPr>
        <w:t>技术</w:t>
      </w:r>
      <w:r>
        <w:rPr>
          <w:rFonts w:ascii="仿宋" w:hAnsi="仿宋" w:eastAsia="仿宋"/>
          <w:sz w:val="28"/>
          <w:szCs w:val="28"/>
        </w:rPr>
        <w:t>，</w:t>
      </w:r>
      <w:r>
        <w:rPr>
          <w:rFonts w:hint="eastAsia" w:ascii="仿宋" w:hAnsi="仿宋" w:eastAsia="仿宋"/>
          <w:sz w:val="28"/>
          <w:szCs w:val="28"/>
        </w:rPr>
        <w:t>帮助用户一站式便捷获取所需文献，实现快速</w:t>
      </w:r>
      <w:r>
        <w:rPr>
          <w:rFonts w:ascii="仿宋" w:hAnsi="仿宋" w:eastAsia="仿宋"/>
          <w:sz w:val="28"/>
          <w:szCs w:val="28"/>
        </w:rPr>
        <w:t>、简便、易用、</w:t>
      </w:r>
      <w:r>
        <w:rPr>
          <w:rFonts w:hint="eastAsia" w:ascii="仿宋" w:hAnsi="仿宋" w:eastAsia="仿宋"/>
          <w:sz w:val="28"/>
          <w:szCs w:val="28"/>
        </w:rPr>
        <w:t>流畅</w:t>
      </w:r>
      <w:r>
        <w:rPr>
          <w:rFonts w:ascii="仿宋" w:hAnsi="仿宋" w:eastAsia="仿宋"/>
          <w:sz w:val="28"/>
          <w:szCs w:val="28"/>
        </w:rPr>
        <w:t>的无缝</w:t>
      </w:r>
      <w:r>
        <w:rPr>
          <w:rFonts w:hint="eastAsia" w:ascii="仿宋" w:hAnsi="仿宋" w:eastAsia="仿宋"/>
          <w:sz w:val="28"/>
          <w:szCs w:val="28"/>
        </w:rPr>
        <w:t>检索体验与文献获取保障。</w:t>
      </w:r>
    </w:p>
    <w:p>
      <w:r>
        <w:drawing>
          <wp:inline distT="0" distB="0" distL="114300" distR="114300">
            <wp:extent cx="5270500" cy="922655"/>
            <wp:effectExtent l="12700" t="12700" r="25400" b="2984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7"/>
                    <a:stretch>
                      <a:fillRect/>
                    </a:stretch>
                  </pic:blipFill>
                  <pic:spPr>
                    <a:xfrm>
                      <a:off x="0" y="0"/>
                      <a:ext cx="5270500" cy="922655"/>
                    </a:xfrm>
                    <a:prstGeom prst="rect">
                      <a:avLst/>
                    </a:prstGeom>
                    <a:noFill/>
                    <a:ln w="9525">
                      <a:solidFill>
                        <a:schemeClr val="tx1"/>
                      </a:solidFill>
                    </a:ln>
                  </pic:spPr>
                </pic:pic>
              </a:graphicData>
            </a:graphic>
          </wp:inline>
        </w:drawing>
      </w:r>
    </w:p>
    <w:p>
      <w:r>
        <w:drawing>
          <wp:inline distT="0" distB="0" distL="0" distR="0">
            <wp:extent cx="5274310" cy="1296670"/>
            <wp:effectExtent l="19050" t="19050" r="2159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4310" cy="1296670"/>
                    </a:xfrm>
                    <a:prstGeom prst="rect">
                      <a:avLst/>
                    </a:prstGeom>
                    <a:noFill/>
                    <a:ln w="9525">
                      <a:solidFill>
                        <a:schemeClr val="tx1"/>
                      </a:solidFill>
                    </a:ln>
                  </pic:spPr>
                </pic:pic>
              </a:graphicData>
            </a:graphic>
          </wp:inline>
        </w:drawing>
      </w:r>
    </w:p>
    <w:p>
      <w:pPr>
        <w:rPr>
          <w:rFonts w:hint="eastAsia"/>
        </w:rPr>
      </w:pPr>
      <w:r>
        <w:drawing>
          <wp:inline distT="0" distB="0" distL="0" distR="0">
            <wp:extent cx="5274310" cy="1367790"/>
            <wp:effectExtent l="19050" t="19050" r="21590" b="228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274310" cy="1367790"/>
                    </a:xfrm>
                    <a:prstGeom prst="rect">
                      <a:avLst/>
                    </a:prstGeom>
                    <a:noFill/>
                    <a:ln>
                      <a:solidFill>
                        <a:schemeClr val="tx1"/>
                      </a:solidFill>
                    </a:ln>
                  </pic:spPr>
                </pic:pic>
              </a:graphicData>
            </a:graphic>
          </wp:inline>
        </w:drawing>
      </w:r>
    </w:p>
    <w:p>
      <w:pPr>
        <w:spacing w:line="360" w:lineRule="auto"/>
        <w:rPr>
          <w:rFonts w:ascii="仿宋" w:hAnsi="仿宋" w:eastAsia="仿宋"/>
          <w:b/>
          <w:sz w:val="28"/>
          <w:szCs w:val="28"/>
        </w:rPr>
      </w:pPr>
      <w:r>
        <w:drawing>
          <wp:inline distT="0" distB="0" distL="114300" distR="114300">
            <wp:extent cx="5264150" cy="948055"/>
            <wp:effectExtent l="12700" t="12700" r="31750" b="2984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0"/>
                    <a:stretch>
                      <a:fillRect/>
                    </a:stretch>
                  </pic:blipFill>
                  <pic:spPr>
                    <a:xfrm>
                      <a:off x="0" y="0"/>
                      <a:ext cx="5264150" cy="948055"/>
                    </a:xfrm>
                    <a:prstGeom prst="rect">
                      <a:avLst/>
                    </a:prstGeom>
                    <a:noFill/>
                    <a:ln w="9525">
                      <a:solidFill>
                        <a:schemeClr val="tx1"/>
                      </a:solidFill>
                    </a:ln>
                  </pic:spPr>
                </pic:pic>
              </a:graphicData>
            </a:graphic>
          </wp:inline>
        </w:drawing>
      </w:r>
    </w:p>
    <w:p>
      <w:pPr>
        <w:spacing w:line="360" w:lineRule="auto"/>
        <w:rPr>
          <w:rFonts w:ascii="仿宋" w:hAnsi="仿宋" w:eastAsia="仿宋"/>
          <w:b/>
          <w:sz w:val="28"/>
          <w:szCs w:val="28"/>
        </w:rPr>
      </w:pPr>
      <w:r>
        <w:drawing>
          <wp:inline distT="0" distB="0" distL="114300" distR="114300">
            <wp:extent cx="5273675" cy="1101090"/>
            <wp:effectExtent l="12700" t="12700" r="22225" b="2921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1"/>
                    <a:stretch>
                      <a:fillRect/>
                    </a:stretch>
                  </pic:blipFill>
                  <pic:spPr>
                    <a:xfrm>
                      <a:off x="0" y="0"/>
                      <a:ext cx="5273675" cy="1101090"/>
                    </a:xfrm>
                    <a:prstGeom prst="rect">
                      <a:avLst/>
                    </a:prstGeom>
                    <a:noFill/>
                    <a:ln w="9525">
                      <a:solidFill>
                        <a:schemeClr val="tx1"/>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19" w:name="_Toc10620661"/>
      <w:bookmarkStart w:id="20" w:name="_Toc393224125"/>
      <w:r>
        <w:rPr>
          <w:rFonts w:ascii="仿宋" w:hAnsi="仿宋" w:eastAsia="仿宋"/>
          <w:b/>
          <w:sz w:val="28"/>
          <w:szCs w:val="28"/>
        </w:rPr>
        <w:t>可视化的关联分析</w:t>
      </w:r>
      <w:bookmarkEnd w:id="19"/>
      <w:bookmarkEnd w:id="20"/>
    </w:p>
    <w:p>
      <w:pPr>
        <w:spacing w:line="360" w:lineRule="auto"/>
        <w:ind w:firstLine="560" w:firstLineChars="200"/>
        <w:rPr>
          <w:rFonts w:ascii="仿宋" w:hAnsi="仿宋" w:eastAsia="仿宋"/>
          <w:sz w:val="28"/>
          <w:szCs w:val="28"/>
        </w:rPr>
      </w:pPr>
      <w:r>
        <w:rPr>
          <w:rFonts w:hint="eastAsia" w:ascii="仿宋" w:hAnsi="仿宋" w:eastAsia="仿宋"/>
          <w:sz w:val="28"/>
          <w:szCs w:val="28"/>
        </w:rPr>
        <w:t>利用引文分析、共词分析、社会网络分析等方法探索检索结果的隐性知识关联，实现前沿热点追踪、发展趋势预测以及各类知识关系的可视化呈现，帮助用户直观了解主题知识的全貌，快速筛选出高价值内容。</w:t>
      </w:r>
    </w:p>
    <w:p>
      <w:pPr>
        <w:spacing w:line="360" w:lineRule="auto"/>
        <w:rPr>
          <w:rFonts w:ascii="仿宋" w:hAnsi="仿宋" w:eastAsia="仿宋"/>
          <w:sz w:val="28"/>
          <w:szCs w:val="28"/>
        </w:rPr>
      </w:pPr>
      <w:r>
        <w:drawing>
          <wp:inline distT="0" distB="0" distL="114300" distR="114300">
            <wp:extent cx="5268595" cy="3270885"/>
            <wp:effectExtent l="12700" t="12700" r="27305" b="1841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2"/>
                    <a:stretch>
                      <a:fillRect/>
                    </a:stretch>
                  </pic:blipFill>
                  <pic:spPr>
                    <a:xfrm>
                      <a:off x="0" y="0"/>
                      <a:ext cx="5268595" cy="3270885"/>
                    </a:xfrm>
                    <a:prstGeom prst="rect">
                      <a:avLst/>
                    </a:prstGeom>
                    <a:noFill/>
                    <a:ln w="9525">
                      <a:solidFill>
                        <a:schemeClr val="tx1"/>
                      </a:solidFill>
                    </a:ln>
                  </pic:spPr>
                </pic:pic>
              </a:graphicData>
            </a:graphic>
          </wp:inline>
        </w:drawing>
      </w:r>
    </w:p>
    <w:p>
      <w:pPr>
        <w:rPr>
          <w:b/>
        </w:rPr>
      </w:pPr>
      <w:r>
        <w:drawing>
          <wp:inline distT="0" distB="0" distL="114300" distR="114300">
            <wp:extent cx="5262880" cy="3016885"/>
            <wp:effectExtent l="12700" t="12700" r="33020" b="18415"/>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13"/>
                    <a:stretch>
                      <a:fillRect/>
                    </a:stretch>
                  </pic:blipFill>
                  <pic:spPr>
                    <a:xfrm>
                      <a:off x="0" y="0"/>
                      <a:ext cx="5262880" cy="3016885"/>
                    </a:xfrm>
                    <a:prstGeom prst="rect">
                      <a:avLst/>
                    </a:prstGeom>
                    <a:noFill/>
                    <a:ln w="9525">
                      <a:solidFill>
                        <a:schemeClr val="tx1"/>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21" w:name="_Toc10620662"/>
      <w:bookmarkStart w:id="22" w:name="_Toc1110687056"/>
      <w:r>
        <w:rPr>
          <w:rFonts w:ascii="仿宋" w:hAnsi="仿宋" w:eastAsia="仿宋"/>
          <w:b/>
          <w:sz w:val="28"/>
          <w:szCs w:val="28"/>
        </w:rPr>
        <w:t>全新的学术评价体系</w:t>
      </w:r>
      <w:bookmarkEnd w:id="21"/>
      <w:bookmarkEnd w:id="22"/>
    </w:p>
    <w:p>
      <w:pPr>
        <w:spacing w:line="360" w:lineRule="auto"/>
        <w:ind w:firstLine="560" w:firstLineChars="200"/>
        <w:rPr>
          <w:rFonts w:ascii="仿宋" w:hAnsi="仿宋" w:eastAsia="仿宋"/>
          <w:sz w:val="28"/>
          <w:szCs w:val="28"/>
        </w:rPr>
      </w:pPr>
      <w:r>
        <w:rPr>
          <w:rFonts w:hint="eastAsia" w:ascii="仿宋" w:hAnsi="仿宋" w:eastAsia="仿宋"/>
          <w:sz w:val="28"/>
          <w:szCs w:val="28"/>
        </w:rPr>
        <w:t>作为传统评价指标的有力补充，推出文献多维指标计量——</w:t>
      </w:r>
      <w:r>
        <w:rPr>
          <w:rFonts w:ascii="仿宋" w:hAnsi="仿宋" w:eastAsia="仿宋"/>
          <w:sz w:val="28"/>
          <w:szCs w:val="28"/>
        </w:rPr>
        <w:t>WFMetrics，增加使用率、关注度、社交媒体计量等测度类别，强调社会性、实时性、直观性，及时迅速地反映科研成果的社会与学术影响力</w:t>
      </w:r>
      <w:r>
        <w:rPr>
          <w:rFonts w:hint="eastAsia" w:ascii="仿宋" w:hAnsi="仿宋" w:eastAsia="仿宋"/>
          <w:sz w:val="28"/>
          <w:szCs w:val="28"/>
        </w:rPr>
        <w:t>。</w:t>
      </w:r>
    </w:p>
    <w:p>
      <w:pPr>
        <w:spacing w:line="360" w:lineRule="auto"/>
        <w:rPr>
          <w:rFonts w:ascii="仿宋" w:hAnsi="仿宋" w:eastAsia="仿宋"/>
          <w:b/>
          <w:sz w:val="28"/>
          <w:szCs w:val="28"/>
        </w:rPr>
      </w:pPr>
      <w:r>
        <w:drawing>
          <wp:inline distT="0" distB="0" distL="114300" distR="114300">
            <wp:extent cx="5262880" cy="1127125"/>
            <wp:effectExtent l="0" t="0" r="20320" b="15875"/>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pic:cNvPicPr>
                  </pic:nvPicPr>
                  <pic:blipFill>
                    <a:blip r:embed="rId14"/>
                    <a:stretch>
                      <a:fillRect/>
                    </a:stretch>
                  </pic:blipFill>
                  <pic:spPr>
                    <a:xfrm>
                      <a:off x="0" y="0"/>
                      <a:ext cx="5262880" cy="1127125"/>
                    </a:xfrm>
                    <a:prstGeom prst="rect">
                      <a:avLst/>
                    </a:prstGeom>
                    <a:noFill/>
                    <a:ln w="9525">
                      <a:solidFill>
                        <a:schemeClr val="tx1"/>
                      </a:solidFill>
                    </a:ln>
                  </pic:spPr>
                </pic:pic>
              </a:graphicData>
            </a:graphic>
          </wp:inline>
        </w:drawing>
      </w:r>
    </w:p>
    <w:p>
      <w:pPr>
        <w:pStyle w:val="33"/>
        <w:numPr>
          <w:ilvl w:val="0"/>
          <w:numId w:val="5"/>
        </w:numPr>
        <w:spacing w:line="360" w:lineRule="auto"/>
        <w:ind w:firstLineChars="0"/>
        <w:outlineLvl w:val="2"/>
        <w:rPr>
          <w:rFonts w:ascii="仿宋" w:hAnsi="仿宋" w:eastAsia="仿宋"/>
          <w:b/>
          <w:sz w:val="28"/>
          <w:szCs w:val="28"/>
        </w:rPr>
      </w:pPr>
      <w:bookmarkStart w:id="23" w:name="_Toc10620663"/>
      <w:bookmarkStart w:id="24" w:name="_Toc1389490468"/>
      <w:r>
        <w:rPr>
          <w:rFonts w:hint="eastAsia" w:ascii="仿宋" w:hAnsi="仿宋" w:eastAsia="仿宋"/>
          <w:b/>
          <w:sz w:val="28"/>
          <w:szCs w:val="28"/>
        </w:rPr>
        <w:t>友好无缝的交互体验</w:t>
      </w:r>
      <w:bookmarkEnd w:id="23"/>
      <w:bookmarkEnd w:id="24"/>
    </w:p>
    <w:p>
      <w:pPr>
        <w:spacing w:line="360" w:lineRule="auto"/>
        <w:ind w:firstLine="560" w:firstLineChars="200"/>
        <w:rPr>
          <w:rFonts w:ascii="仿宋" w:hAnsi="仿宋" w:eastAsia="仿宋"/>
          <w:sz w:val="28"/>
          <w:szCs w:val="28"/>
        </w:rPr>
      </w:pPr>
      <w:r>
        <w:rPr>
          <w:rFonts w:hint="eastAsia" w:ascii="仿宋" w:hAnsi="仿宋" w:eastAsia="仿宋"/>
          <w:sz w:val="28"/>
          <w:szCs w:val="28"/>
        </w:rPr>
        <w:t>深入参与用户学习与科研过程，在资源检索和阅读过程中嵌接分享交流、引用收藏、文献管理等多项服务，为用户提供学术资源深度利用的新型支撑模式。</w:t>
      </w:r>
    </w:p>
    <w:p>
      <w:pPr>
        <w:spacing w:line="360" w:lineRule="auto"/>
        <w:rPr>
          <w:rFonts w:ascii="仿宋" w:hAnsi="仿宋" w:eastAsia="仿宋"/>
          <w:b/>
          <w:sz w:val="28"/>
          <w:szCs w:val="28"/>
        </w:rPr>
      </w:pPr>
      <w:r>
        <w:drawing>
          <wp:inline distT="0" distB="0" distL="114300" distR="114300">
            <wp:extent cx="5273040" cy="4017010"/>
            <wp:effectExtent l="9525" t="9525" r="1333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5273040" cy="4017010"/>
                    </a:xfrm>
                    <a:prstGeom prst="rect">
                      <a:avLst/>
                    </a:prstGeom>
                    <a:noFill/>
                    <a:ln>
                      <a:solidFill>
                        <a:schemeClr val="tx1"/>
                      </a:solidFill>
                    </a:ln>
                  </pic:spPr>
                </pic:pic>
              </a:graphicData>
            </a:graphic>
          </wp:inline>
        </w:drawing>
      </w:r>
    </w:p>
    <w:p>
      <w:pPr>
        <w:spacing w:line="360" w:lineRule="auto"/>
        <w:rPr>
          <w:rFonts w:ascii="仿宋" w:hAnsi="仿宋" w:eastAsia="仿宋"/>
          <w:b/>
          <w:sz w:val="28"/>
          <w:szCs w:val="28"/>
        </w:rPr>
      </w:pPr>
    </w:p>
    <w:p>
      <w:pPr>
        <w:spacing w:line="360" w:lineRule="auto"/>
        <w:rPr>
          <w:rFonts w:ascii="仿宋" w:hAnsi="仿宋" w:eastAsia="仿宋"/>
          <w:b/>
          <w:sz w:val="28"/>
          <w:szCs w:val="28"/>
        </w:rPr>
      </w:pPr>
      <w:r>
        <w:rPr>
          <w:rFonts w:ascii="仿宋" w:hAnsi="仿宋" w:eastAsia="仿宋"/>
          <w:b/>
          <w:sz w:val="28"/>
          <w:szCs w:val="28"/>
        </w:rPr>
        <w:t xml:space="preserve"> </w:t>
      </w:r>
    </w:p>
    <w:p>
      <w:pPr>
        <w:pStyle w:val="33"/>
        <w:numPr>
          <w:ilvl w:val="0"/>
          <w:numId w:val="5"/>
        </w:numPr>
        <w:spacing w:line="360" w:lineRule="auto"/>
        <w:ind w:firstLineChars="0"/>
        <w:outlineLvl w:val="2"/>
        <w:rPr>
          <w:rFonts w:ascii="仿宋" w:hAnsi="仿宋" w:eastAsia="仿宋"/>
          <w:b/>
          <w:sz w:val="28"/>
          <w:szCs w:val="28"/>
        </w:rPr>
      </w:pPr>
      <w:bookmarkStart w:id="25" w:name="_Toc1429118198"/>
      <w:bookmarkStart w:id="26" w:name="_Toc10620664"/>
      <w:r>
        <w:rPr>
          <w:rFonts w:ascii="仿宋" w:hAnsi="仿宋" w:eastAsia="仿宋"/>
          <w:b/>
          <w:sz w:val="28"/>
          <w:szCs w:val="28"/>
        </w:rPr>
        <w:t>尊重与保护知识产权</w:t>
      </w:r>
      <w:bookmarkEnd w:id="25"/>
      <w:bookmarkEnd w:id="26"/>
    </w:p>
    <w:p>
      <w:pPr>
        <w:spacing w:line="360" w:lineRule="auto"/>
        <w:ind w:firstLine="560" w:firstLineChars="200"/>
        <w:rPr>
          <w:rFonts w:ascii="仿宋" w:hAnsi="仿宋" w:eastAsia="仿宋"/>
          <w:sz w:val="28"/>
          <w:szCs w:val="28"/>
        </w:rPr>
      </w:pPr>
      <w:r>
        <w:rPr>
          <w:rFonts w:hint="eastAsia" w:ascii="仿宋" w:hAnsi="仿宋" w:eastAsia="仿宋"/>
          <w:sz w:val="28"/>
          <w:szCs w:val="28"/>
        </w:rPr>
        <w:t>严格遵守并保护知识产权制度，以期建立业内良好的知识产权保护环境。平台提供的文献资源和其它数字化作品，包括资源元数据、文献全文等，均以获得资源提供者的版权许可为前提，为用户提供安全、可靠、稳定的数据资源。</w:t>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pStyle w:val="2"/>
        <w:spacing w:before="600" w:after="400" w:line="576" w:lineRule="auto"/>
        <w:jc w:val="center"/>
        <w:rPr>
          <w:rFonts w:ascii="Calibri" w:hAnsi="Calibri" w:eastAsia="宋体" w:cs="Times New Roman"/>
        </w:rPr>
      </w:pPr>
      <w:bookmarkStart w:id="27" w:name="_Toc10620666"/>
      <w:bookmarkStart w:id="28" w:name="_Toc1732445738"/>
      <w:bookmarkStart w:id="29" w:name="_Toc480286755"/>
      <w:bookmarkStart w:id="30" w:name="_Toc480043853"/>
      <w:r>
        <w:rPr>
          <w:rFonts w:hint="eastAsia" w:ascii="Calibri" w:hAnsi="Calibri" w:eastAsia="宋体" w:cs="Times New Roman"/>
        </w:rPr>
        <w:t>第二部分 使用帮助</w:t>
      </w:r>
      <w:bookmarkEnd w:id="27"/>
      <w:bookmarkEnd w:id="28"/>
      <w:bookmarkEnd w:id="29"/>
    </w:p>
    <w:bookmarkEnd w:id="30"/>
    <w:p>
      <w:pPr>
        <w:pStyle w:val="3"/>
        <w:numPr>
          <w:ilvl w:val="0"/>
          <w:numId w:val="6"/>
        </w:numPr>
        <w:spacing w:before="400" w:after="400" w:line="415" w:lineRule="auto"/>
      </w:pPr>
      <w:bookmarkStart w:id="31" w:name="_Hlk480202892"/>
      <w:bookmarkEnd w:id="31"/>
      <w:bookmarkStart w:id="32" w:name="_Toc1632232540"/>
      <w:bookmarkStart w:id="33" w:name="_Toc480286756"/>
      <w:bookmarkStart w:id="34" w:name="_Toc10620667"/>
      <w:r>
        <w:rPr>
          <w:rFonts w:hint="eastAsia"/>
        </w:rPr>
        <w:t>资源检索</w:t>
      </w:r>
      <w:bookmarkEnd w:id="32"/>
      <w:bookmarkEnd w:id="33"/>
      <w:bookmarkEnd w:id="34"/>
    </w:p>
    <w:p>
      <w:pPr>
        <w:pStyle w:val="4"/>
        <w:numPr>
          <w:ilvl w:val="0"/>
          <w:numId w:val="7"/>
        </w:numPr>
      </w:pPr>
      <w:bookmarkStart w:id="35" w:name="_Toc976193002"/>
      <w:bookmarkStart w:id="36" w:name="_Toc480043855"/>
      <w:bookmarkStart w:id="37" w:name="_Toc10620668"/>
      <w:bookmarkStart w:id="38" w:name="_Toc480043856"/>
      <w:r>
        <w:rPr>
          <w:rFonts w:hint="eastAsia"/>
        </w:rPr>
        <w:t>统一检索</w:t>
      </w:r>
      <w:bookmarkEnd w:id="35"/>
      <w:bookmarkEnd w:id="36"/>
      <w:bookmarkEnd w:id="37"/>
    </w:p>
    <w:p>
      <w:pPr>
        <w:pStyle w:val="26"/>
        <w:ind w:firstLine="560"/>
      </w:pPr>
      <w:r>
        <w:rPr>
          <w:rFonts w:hint="eastAsia"/>
        </w:rPr>
        <w:t>知识服务平台v</w:t>
      </w:r>
      <w:r>
        <w:t>2.0</w:t>
      </w:r>
      <w:r>
        <w:rPr>
          <w:rFonts w:hint="eastAsia"/>
        </w:rPr>
        <w:t>首页的检索框即为统一检索的输入框，实现</w:t>
      </w:r>
      <w:r>
        <w:t>多种</w:t>
      </w:r>
      <w:r>
        <w:rPr>
          <w:rFonts w:hint="eastAsia"/>
        </w:rPr>
        <w:t>资源类型、多种来源的一站式检索和发现，同时，它还可对用户输入的检索词进行实体识别，便于引导用户更快捷的获取知识及学者、机构等科研实体的信息。</w:t>
      </w:r>
    </w:p>
    <w:p>
      <w:pPr>
        <w:pStyle w:val="26"/>
        <w:ind w:firstLine="560"/>
      </w:pPr>
      <w:r>
        <w:rPr>
          <w:rFonts w:hint="eastAsia"/>
        </w:rPr>
        <w:t>在统一检索的输入框内，用户可以选择想要限定的检索字段，目前共有5个可检索字段：题名、作者、作者单位关键词和摘要。</w:t>
      </w:r>
    </w:p>
    <w:p>
      <w:r>
        <w:drawing>
          <wp:inline distT="0" distB="0" distL="0" distR="0">
            <wp:extent cx="5274310" cy="1269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rPr>
          <w:color w:val="FF0000"/>
        </w:rPr>
      </w:pPr>
      <w:r>
        <w:rPr>
          <w:rFonts w:hint="eastAsia"/>
        </w:rPr>
        <w:t xml:space="preserve">用户可以单击检索字段进行限定检索，也可以直接在检索框内输入检索式进行检索。例如，用户想检索题名包含“青蒿素”的文献，用户可以单击“题名”字段检索，检索式为：（题名:青蒿素）。除此之外，用户也可以自主输入检索式检索，例如：（标题:青蒿素）、（题目:青蒿素）、（题:青蒿素）、（篇名:青蒿素）、（t:青蒿素） （title:青蒿素）。 </w:t>
      </w:r>
    </w:p>
    <w:p>
      <w:pPr>
        <w:rPr>
          <w:rFonts w:hint="eastAsia"/>
        </w:rPr>
      </w:pPr>
      <w:r>
        <w:drawing>
          <wp:inline distT="0" distB="0" distL="0" distR="0">
            <wp:extent cx="5274310" cy="2264410"/>
            <wp:effectExtent l="19050" t="19050" r="21590" b="215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2264410"/>
                    </a:xfrm>
                    <a:prstGeom prst="rect">
                      <a:avLst/>
                    </a:prstGeom>
                    <a:noFill/>
                    <a:ln w="9525">
                      <a:solidFill>
                        <a:schemeClr val="tx1"/>
                      </a:solidFill>
                    </a:ln>
                  </pic:spPr>
                </pic:pic>
              </a:graphicData>
            </a:graphic>
          </wp:inline>
        </w:drawing>
      </w:r>
    </w:p>
    <w:p>
      <w:pPr>
        <w:pStyle w:val="26"/>
        <w:ind w:firstLine="560"/>
        <w:rPr>
          <w:color w:val="FF0000"/>
        </w:rPr>
      </w:pPr>
      <w:r>
        <w:rPr>
          <w:rFonts w:hint="eastAsia"/>
        </w:rPr>
        <w:t>万方智搜默认用户直接输入的检索词为模糊检索，用户可以通过“”（英文符号）来限定检索词为精确检索。例如，用户想要“信息资源检索”方面的文献，检索式为：（信息资源检索），即为模糊检索，检索式为：（“信息资源检索”）为精确检索。</w:t>
      </w:r>
    </w:p>
    <w:p>
      <w:pPr>
        <w:pStyle w:val="26"/>
        <w:ind w:firstLine="560"/>
      </w:pPr>
      <w:r>
        <w:rPr>
          <w:rFonts w:hint="eastAsia"/>
        </w:rPr>
        <w:t>另外用户也可以在检索框内使用者not、and、or对检索词进行逻辑匹配检索，其中and可以用空格代替。例如，用户想要“信息检索”和“本体”方面的文献，检索式为：（信息检索 and</w:t>
      </w:r>
      <w:r>
        <w:t xml:space="preserve"> </w:t>
      </w:r>
      <w:r>
        <w:rPr>
          <w:rFonts w:hint="eastAsia"/>
        </w:rPr>
        <w:t xml:space="preserve">本体）或（信息检索 </w:t>
      </w:r>
      <w:r>
        <w:rPr>
          <w:rFonts w:hint="eastAsia"/>
          <w:color w:val="FF0000"/>
        </w:rPr>
        <w:t>空格</w:t>
      </w:r>
      <w:r>
        <w:rPr>
          <w:rFonts w:hint="eastAsia"/>
        </w:rPr>
        <w:t xml:space="preserve"> 本体）。</w:t>
      </w:r>
    </w:p>
    <w:p>
      <w:r>
        <w:drawing>
          <wp:inline distT="0" distB="0" distL="0" distR="0">
            <wp:extent cx="5274310" cy="2422525"/>
            <wp:effectExtent l="19050" t="19050" r="2159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74310" cy="2422525"/>
                    </a:xfrm>
                    <a:prstGeom prst="rect">
                      <a:avLst/>
                    </a:prstGeom>
                    <a:noFill/>
                    <a:ln w="9525">
                      <a:solidFill>
                        <a:schemeClr val="tx1"/>
                      </a:solidFill>
                    </a:ln>
                  </pic:spPr>
                </pic:pic>
              </a:graphicData>
            </a:graphic>
          </wp:inline>
        </w:drawing>
      </w:r>
    </w:p>
    <w:p>
      <w:pPr>
        <w:pStyle w:val="4"/>
        <w:numPr>
          <w:ilvl w:val="0"/>
          <w:numId w:val="7"/>
        </w:numPr>
      </w:pPr>
      <w:bookmarkStart w:id="39" w:name="_Toc10620669"/>
      <w:bookmarkStart w:id="40" w:name="_Toc100721534"/>
      <w:r>
        <w:rPr>
          <w:rFonts w:hint="eastAsia"/>
        </w:rPr>
        <w:t>分类</w:t>
      </w:r>
      <w:r>
        <w:t>检索</w:t>
      </w:r>
      <w:bookmarkEnd w:id="38"/>
      <w:bookmarkEnd w:id="39"/>
      <w:bookmarkEnd w:id="40"/>
    </w:p>
    <w:p>
      <w:pPr>
        <w:pStyle w:val="26"/>
        <w:ind w:firstLine="560"/>
      </w:pPr>
      <w:r>
        <w:rPr>
          <w:rFonts w:hint="eastAsia"/>
        </w:rPr>
        <w:t>万方智搜为用户提供了不同资源的分类检索，</w:t>
      </w:r>
      <w:r>
        <w:t>包括</w:t>
      </w:r>
      <w:r>
        <w:rPr>
          <w:rFonts w:hint="eastAsia"/>
        </w:rPr>
        <w:t>期刊、学位、等资源。用户可以通过单击检索框上部的资源类型进行检索范围切换。</w:t>
      </w:r>
    </w:p>
    <w:p>
      <w:pPr>
        <w:pStyle w:val="26"/>
        <w:ind w:left="0" w:leftChars="0" w:firstLine="560" w:firstLineChars="200"/>
      </w:pPr>
      <w:r>
        <w:rPr>
          <w:rFonts w:hint="eastAsia"/>
        </w:rPr>
        <w:t>期刊检索可以实现期刊论文检索和期刊检索，输入检索词或限定字段并输入检索词，点击搜论文按钮，实现对期刊论文的检索；输入刊名、刊号，点击搜期刊，实现对期刊母体的检索。</w:t>
      </w:r>
    </w:p>
    <w:p>
      <w:r>
        <w:drawing>
          <wp:inline distT="0" distB="0" distL="0" distR="0">
            <wp:extent cx="5274310" cy="1668780"/>
            <wp:effectExtent l="19050" t="19050" r="2159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668780"/>
                    </a:xfrm>
                    <a:prstGeom prst="rect">
                      <a:avLst/>
                    </a:prstGeom>
                    <a:noFill/>
                    <a:ln w="9525">
                      <a:solidFill>
                        <a:schemeClr val="tx1"/>
                      </a:solidFill>
                    </a:ln>
                  </pic:spPr>
                </pic:pic>
              </a:graphicData>
            </a:graphic>
          </wp:inline>
        </w:drawing>
      </w:r>
    </w:p>
    <w:p>
      <w:pPr>
        <w:pStyle w:val="26"/>
        <w:ind w:firstLine="560"/>
      </w:pPr>
      <w:r>
        <w:rPr>
          <w:rFonts w:hint="eastAsia"/>
        </w:rPr>
        <w:t>学位资源的检索可以通过在检索框内输入检索词直接检索，也可限定字段后检索。可检索的主要字段有题名、关键词、专业、导师、学位授予单位等。</w:t>
      </w:r>
    </w:p>
    <w:p>
      <w:r>
        <w:drawing>
          <wp:inline distT="0" distB="0" distL="0" distR="0">
            <wp:extent cx="5274310" cy="1642745"/>
            <wp:effectExtent l="19050" t="19050" r="2159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4310" cy="1642745"/>
                    </a:xfrm>
                    <a:prstGeom prst="rect">
                      <a:avLst/>
                    </a:prstGeom>
                    <a:noFill/>
                    <a:ln w="9525">
                      <a:solidFill>
                        <a:schemeClr val="tx1"/>
                      </a:solidFill>
                    </a:ln>
                  </pic:spPr>
                </pic:pic>
              </a:graphicData>
            </a:graphic>
          </wp:inline>
        </w:drawing>
      </w:r>
    </w:p>
    <w:p/>
    <w:p/>
    <w:p>
      <w:pPr>
        <w:pStyle w:val="4"/>
        <w:numPr>
          <w:ilvl w:val="0"/>
          <w:numId w:val="7"/>
        </w:numPr>
      </w:pPr>
      <w:bookmarkStart w:id="41" w:name="_Toc480043857"/>
      <w:bookmarkStart w:id="42" w:name="_Toc609708102"/>
      <w:bookmarkStart w:id="43" w:name="_Toc10620670"/>
      <w:r>
        <w:rPr>
          <w:rFonts w:hint="eastAsia"/>
        </w:rPr>
        <w:t>高级检索</w:t>
      </w:r>
      <w:bookmarkEnd w:id="41"/>
      <w:bookmarkEnd w:id="42"/>
      <w:bookmarkEnd w:id="43"/>
    </w:p>
    <w:p>
      <w:pPr>
        <w:pStyle w:val="26"/>
        <w:ind w:firstLine="560"/>
      </w:pPr>
      <w:r>
        <w:rPr>
          <w:rFonts w:hint="eastAsia"/>
        </w:rPr>
        <w:t>万方智搜检索框的右侧有高级检索的入口，单击进入高级检索界面。高级检索支持多个检索类型、多个检索字段和条件之间的逻辑组配检索，方便用户构建复杂检索表达式。</w:t>
      </w:r>
    </w:p>
    <w:p>
      <w:r>
        <w:t xml:space="preserve"> </w:t>
      </w:r>
      <w:r>
        <w:drawing>
          <wp:inline distT="0" distB="0" distL="0" distR="0">
            <wp:extent cx="5274310" cy="551815"/>
            <wp:effectExtent l="0" t="0" r="2540"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1"/>
                    <a:stretch>
                      <a:fillRect/>
                    </a:stretch>
                  </pic:blipFill>
                  <pic:spPr>
                    <a:xfrm>
                      <a:off x="0" y="0"/>
                      <a:ext cx="5274310" cy="551815"/>
                    </a:xfrm>
                    <a:prstGeom prst="rect">
                      <a:avLst/>
                    </a:prstGeom>
                  </pic:spPr>
                </pic:pic>
              </a:graphicData>
            </a:graphic>
          </wp:inline>
        </w:drawing>
      </w:r>
    </w:p>
    <w:p>
      <w:pPr>
        <w:jc w:val="center"/>
      </w:pPr>
      <w:r>
        <w:drawing>
          <wp:inline distT="0" distB="0" distL="114300" distR="114300">
            <wp:extent cx="5265420" cy="2292350"/>
            <wp:effectExtent l="9525" t="9525" r="20955" b="222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65420" cy="2292350"/>
                    </a:xfrm>
                    <a:prstGeom prst="rect">
                      <a:avLst/>
                    </a:prstGeom>
                    <a:noFill/>
                    <a:ln>
                      <a:solidFill>
                        <a:schemeClr val="tx2"/>
                      </a:solidFill>
                    </a:ln>
                  </pic:spPr>
                </pic:pic>
              </a:graphicData>
            </a:graphic>
          </wp:inline>
        </w:drawing>
      </w:r>
    </w:p>
    <w:p>
      <w:pPr>
        <w:pStyle w:val="26"/>
        <w:ind w:firstLine="560"/>
      </w:pPr>
      <w:r>
        <w:rPr>
          <w:rFonts w:hint="eastAsia"/>
        </w:rPr>
        <w:t>在高级检索界面，用户可以根据自己需要，选择想要检索的资源类型和语种，通过</w:t>
      </w:r>
      <w:r>
        <w:drawing>
          <wp:inline distT="0" distB="0" distL="0" distR="0">
            <wp:extent cx="158115" cy="158115"/>
            <wp:effectExtent l="12700" t="12700" r="32385" b="32385"/>
            <wp:docPr id="188" name="图片 9"/>
            <wp:cNvGraphicFramePr/>
            <a:graphic xmlns:a="http://schemas.openxmlformats.org/drawingml/2006/main">
              <a:graphicData uri="http://schemas.openxmlformats.org/drawingml/2006/picture">
                <pic:pic xmlns:pic="http://schemas.openxmlformats.org/drawingml/2006/picture">
                  <pic:nvPicPr>
                    <pic:cNvPr id="188" name="图片 9"/>
                    <pic:cNvPicPr/>
                  </pic:nvPicPr>
                  <pic:blipFill>
                    <a:blip r:embed="rId23"/>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rPr>
        <w:t>或者</w:t>
      </w:r>
      <w:r>
        <w:t xml:space="preserve"> </w:t>
      </w:r>
      <w:r>
        <w:drawing>
          <wp:inline distT="0" distB="0" distL="0" distR="0">
            <wp:extent cx="160020" cy="160020"/>
            <wp:effectExtent l="12700" t="12700" r="30480" b="3048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24"/>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rPr>
        <w:t>添加或者减少检索条件，通过“与”、“或”和“非”限定检索条件，可以选择文献的其他字段例如会议主办方、作者、作者单位等检索，还可以限定文献的发表时间和万方数据文献的更新时间，同时高级检索也提供了精确和模糊的选项，满足用户查准和查全的需求。</w:t>
      </w:r>
    </w:p>
    <w:p>
      <w:pPr>
        <w:pStyle w:val="4"/>
        <w:numPr>
          <w:ilvl w:val="0"/>
          <w:numId w:val="7"/>
        </w:numPr>
      </w:pPr>
      <w:bookmarkStart w:id="44" w:name="_Toc1719590477"/>
      <w:bookmarkStart w:id="45" w:name="_Toc10620671"/>
      <w:bookmarkStart w:id="46" w:name="_Toc480043858"/>
      <w:r>
        <w:rPr>
          <w:rFonts w:hint="eastAsia"/>
        </w:rPr>
        <w:t>专业检索</w:t>
      </w:r>
      <w:bookmarkEnd w:id="44"/>
      <w:bookmarkEnd w:id="45"/>
      <w:bookmarkEnd w:id="46"/>
    </w:p>
    <w:p>
      <w:pPr>
        <w:pStyle w:val="26"/>
        <w:ind w:firstLine="560"/>
      </w:pPr>
      <w:r>
        <w:rPr>
          <w:rFonts w:hint="eastAsia"/>
        </w:rPr>
        <w:t>万方智搜检索框的右侧有高级检索的入口，单击进入高级检索界面，然后选择专业检索。</w:t>
      </w:r>
    </w:p>
    <w:p/>
    <w:p>
      <w:r>
        <w:drawing>
          <wp:inline distT="0" distB="0" distL="114300" distR="114300">
            <wp:extent cx="5269865" cy="2715895"/>
            <wp:effectExtent l="9525" t="9525" r="1651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5"/>
                    <a:stretch>
                      <a:fillRect/>
                    </a:stretch>
                  </pic:blipFill>
                  <pic:spPr>
                    <a:xfrm>
                      <a:off x="0" y="0"/>
                      <a:ext cx="5269865" cy="2715895"/>
                    </a:xfrm>
                    <a:prstGeom prst="rect">
                      <a:avLst/>
                    </a:prstGeom>
                    <a:noFill/>
                    <a:ln>
                      <a:solidFill>
                        <a:schemeClr val="tx1"/>
                      </a:solidFill>
                    </a:ln>
                  </pic:spPr>
                </pic:pic>
              </a:graphicData>
            </a:graphic>
          </wp:inline>
        </w:drawing>
      </w:r>
    </w:p>
    <w:p>
      <w:pPr>
        <w:pStyle w:val="26"/>
        <w:ind w:firstLine="560"/>
      </w:pPr>
      <w:r>
        <w:rPr>
          <w:rFonts w:hint="eastAsia"/>
        </w:rPr>
        <w:t>专业检索是所有检索方式里面比较复杂的一种检索方法。需要用户自己输入检索式来检索，并且确保所输入的检索式语法正确，这样才能检索到想要的结果。每个资源的专业检索字段都不一样，详细的字段可以单击“展开”进行选择。</w:t>
      </w:r>
    </w:p>
    <w:p>
      <w:pPr>
        <w:jc w:val="center"/>
      </w:pPr>
      <w:r>
        <w:drawing>
          <wp:inline distT="0" distB="0" distL="114300" distR="114300">
            <wp:extent cx="5273675" cy="935990"/>
            <wp:effectExtent l="0" t="0" r="3175" b="165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6"/>
                    <a:stretch>
                      <a:fillRect/>
                    </a:stretch>
                  </pic:blipFill>
                  <pic:spPr>
                    <a:xfrm>
                      <a:off x="0" y="0"/>
                      <a:ext cx="5273675" cy="935990"/>
                    </a:xfrm>
                    <a:prstGeom prst="rect">
                      <a:avLst/>
                    </a:prstGeom>
                    <a:noFill/>
                    <a:ln>
                      <a:solidFill>
                        <a:schemeClr val="tx1"/>
                      </a:solidFill>
                    </a:ln>
                  </pic:spPr>
                </pic:pic>
              </a:graphicData>
            </a:graphic>
          </wp:inline>
        </w:drawing>
      </w:r>
    </w:p>
    <w:p>
      <w:pPr>
        <w:pStyle w:val="26"/>
        <w:ind w:firstLine="560"/>
      </w:pPr>
      <w:r>
        <w:rPr>
          <w:rFonts w:hint="eastAsia"/>
        </w:rPr>
        <w:t>用户如果对自己想要检索的检索词不确定，可以使用“推荐检索词”功能，输入一些语句，单击搜索相关推荐词，得到规范的检索词。</w:t>
      </w:r>
    </w:p>
    <w:p>
      <w:pPr>
        <w:jc w:val="center"/>
      </w:pPr>
      <w:r>
        <w:drawing>
          <wp:inline distT="0" distB="0" distL="114300" distR="114300">
            <wp:extent cx="5273675" cy="1051560"/>
            <wp:effectExtent l="9525" t="9525" r="12700" b="247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7"/>
                    <a:stretch>
                      <a:fillRect/>
                    </a:stretch>
                  </pic:blipFill>
                  <pic:spPr>
                    <a:xfrm>
                      <a:off x="0" y="0"/>
                      <a:ext cx="5273675" cy="1051560"/>
                    </a:xfrm>
                    <a:prstGeom prst="rect">
                      <a:avLst/>
                    </a:prstGeom>
                    <a:noFill/>
                    <a:ln>
                      <a:solidFill>
                        <a:schemeClr val="tx1"/>
                      </a:solidFill>
                    </a:ln>
                  </pic:spPr>
                </pic:pic>
              </a:graphicData>
            </a:graphic>
          </wp:inline>
        </w:drawing>
      </w:r>
    </w:p>
    <w:p>
      <w:pPr>
        <w:pStyle w:val="26"/>
        <w:ind w:firstLine="560"/>
      </w:pPr>
      <w:r>
        <w:rPr>
          <w:rFonts w:hint="eastAsia"/>
        </w:rPr>
        <w:t>例如检索主题为推荐，发表在情报学报上的期刊文献，检索式为“主题:(推荐) or 刊名:(情报学报)”，专业检索得到如下检索结果。</w:t>
      </w:r>
      <w:r>
        <w:t xml:space="preserve"> </w:t>
      </w:r>
    </w:p>
    <w:p>
      <w:pPr>
        <w:jc w:val="center"/>
      </w:pPr>
      <w:r>
        <w:drawing>
          <wp:inline distT="0" distB="0" distL="114300" distR="114300">
            <wp:extent cx="5262880" cy="3006725"/>
            <wp:effectExtent l="9525" t="9525" r="23495" b="1270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8"/>
                    <a:stretch>
                      <a:fillRect/>
                    </a:stretch>
                  </pic:blipFill>
                  <pic:spPr>
                    <a:xfrm>
                      <a:off x="0" y="0"/>
                      <a:ext cx="5262880" cy="3006725"/>
                    </a:xfrm>
                    <a:prstGeom prst="rect">
                      <a:avLst/>
                    </a:prstGeom>
                    <a:noFill/>
                    <a:ln>
                      <a:solidFill>
                        <a:schemeClr val="tx1"/>
                      </a:solidFill>
                    </a:ln>
                  </pic:spPr>
                </pic:pic>
              </a:graphicData>
            </a:graphic>
          </wp:inline>
        </w:drawing>
      </w:r>
    </w:p>
    <w:p>
      <w:pPr>
        <w:pStyle w:val="4"/>
        <w:numPr>
          <w:ilvl w:val="0"/>
          <w:numId w:val="7"/>
        </w:numPr>
      </w:pPr>
      <w:bookmarkStart w:id="47" w:name="_Toc322225613"/>
      <w:r>
        <w:t>作者发文</w:t>
      </w:r>
      <w:r>
        <w:rPr>
          <w:rFonts w:hint="eastAsia"/>
        </w:rPr>
        <w:t>检索</w:t>
      </w:r>
      <w:bookmarkEnd w:id="47"/>
    </w:p>
    <w:p>
      <w:pPr>
        <w:rPr>
          <w:rFonts w:ascii="仿宋" w:hAnsi="仿宋" w:eastAsia="仿宋"/>
          <w:sz w:val="28"/>
          <w:szCs w:val="28"/>
        </w:rPr>
      </w:pPr>
      <w:r>
        <w:rPr>
          <w:rFonts w:ascii="仿宋" w:hAnsi="仿宋" w:eastAsia="仿宋"/>
          <w:sz w:val="28"/>
          <w:szCs w:val="28"/>
        </w:rPr>
        <w:t>作者发文</w:t>
      </w:r>
      <w:r>
        <w:rPr>
          <w:rFonts w:hint="eastAsia" w:ascii="仿宋" w:hAnsi="仿宋" w:eastAsia="仿宋"/>
          <w:sz w:val="28"/>
          <w:szCs w:val="28"/>
        </w:rPr>
        <w:t>检索是</w:t>
      </w:r>
      <w:r>
        <w:rPr>
          <w:rFonts w:ascii="仿宋" w:hAnsi="仿宋" w:eastAsia="仿宋"/>
          <w:sz w:val="28"/>
          <w:szCs w:val="28"/>
        </w:rPr>
        <w:t>通过</w:t>
      </w:r>
      <w:r>
        <w:rPr>
          <w:rFonts w:ascii="仿宋" w:hAnsi="仿宋" w:eastAsia="仿宋"/>
          <w:color w:val="333333"/>
          <w:sz w:val="28"/>
          <w:szCs w:val="28"/>
        </w:rPr>
        <w:t>输入作者名称和作者单位等字段来精确查找相关作者的学术成果</w:t>
      </w:r>
      <w:r>
        <w:rPr>
          <w:rFonts w:hint="eastAsia" w:ascii="仿宋" w:hAnsi="仿宋" w:eastAsia="仿宋"/>
          <w:sz w:val="28"/>
          <w:szCs w:val="28"/>
        </w:rPr>
        <w:t>。</w:t>
      </w:r>
      <w:r>
        <w:rPr>
          <w:rFonts w:ascii="仿宋" w:hAnsi="仿宋" w:eastAsia="仿宋"/>
          <w:sz w:val="28"/>
          <w:szCs w:val="28"/>
        </w:rPr>
        <w:t>用户可以选择想要检索</w:t>
      </w:r>
      <w:r>
        <w:rPr>
          <w:rFonts w:hint="eastAsia" w:ascii="仿宋" w:hAnsi="仿宋" w:eastAsia="仿宋"/>
          <w:sz w:val="28"/>
          <w:szCs w:val="28"/>
        </w:rPr>
        <w:t>的资源类型，通过</w:t>
      </w:r>
      <w:r>
        <w:rPr>
          <w:rFonts w:ascii="仿宋" w:hAnsi="仿宋" w:eastAsia="仿宋"/>
          <w:sz w:val="28"/>
          <w:szCs w:val="28"/>
        </w:rPr>
        <w:drawing>
          <wp:inline distT="0" distB="0" distL="0" distR="0">
            <wp:extent cx="158115" cy="158115"/>
            <wp:effectExtent l="12700" t="12700" r="32385" b="32385"/>
            <wp:docPr id="205" name="图片 9"/>
            <wp:cNvGraphicFramePr/>
            <a:graphic xmlns:a="http://schemas.openxmlformats.org/drawingml/2006/main">
              <a:graphicData uri="http://schemas.openxmlformats.org/drawingml/2006/picture">
                <pic:pic xmlns:pic="http://schemas.openxmlformats.org/drawingml/2006/picture">
                  <pic:nvPicPr>
                    <pic:cNvPr id="205" name="图片 9"/>
                    <pic:cNvPicPr/>
                  </pic:nvPicPr>
                  <pic:blipFill>
                    <a:blip r:embed="rId23"/>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或者</w:t>
      </w:r>
      <w:r>
        <w:rPr>
          <w:rFonts w:ascii="仿宋" w:hAnsi="仿宋" w:eastAsia="仿宋"/>
          <w:sz w:val="28"/>
          <w:szCs w:val="28"/>
        </w:rPr>
        <w:t xml:space="preserve"> </w:t>
      </w:r>
      <w:r>
        <w:rPr>
          <w:rFonts w:ascii="仿宋" w:hAnsi="仿宋" w:eastAsia="仿宋"/>
          <w:sz w:val="28"/>
          <w:szCs w:val="28"/>
        </w:rPr>
        <w:drawing>
          <wp:inline distT="0" distB="0" distL="0" distR="0">
            <wp:extent cx="160020" cy="160020"/>
            <wp:effectExtent l="12700" t="12700" r="30480" b="30480"/>
            <wp:docPr id="2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
                    <pic:cNvPicPr>
                      <a:picLocks noChangeAspect="1"/>
                    </pic:cNvPicPr>
                  </pic:nvPicPr>
                  <pic:blipFill>
                    <a:blip r:embed="rId24"/>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添加或者减少检索条件，通过“与”、“或”和“非”限定检索条件</w:t>
      </w:r>
      <w:r>
        <w:rPr>
          <w:rFonts w:ascii="仿宋" w:hAnsi="仿宋" w:eastAsia="仿宋"/>
          <w:sz w:val="28"/>
          <w:szCs w:val="28"/>
        </w:rPr>
        <w:t>进行检索。可以检索第一作者，并且能够同时检索多个作者的成果。</w:t>
      </w:r>
    </w:p>
    <w:p>
      <w:r>
        <w:drawing>
          <wp:inline distT="0" distB="0" distL="114300" distR="114300">
            <wp:extent cx="5261610" cy="2821305"/>
            <wp:effectExtent l="12700" t="12700" r="34290" b="36195"/>
            <wp:docPr id="2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pic:cNvPicPr>
                      <a:picLocks noChangeAspect="1"/>
                    </pic:cNvPicPr>
                  </pic:nvPicPr>
                  <pic:blipFill>
                    <a:blip r:embed="rId29"/>
                    <a:stretch>
                      <a:fillRect/>
                    </a:stretch>
                  </pic:blipFill>
                  <pic:spPr>
                    <a:xfrm>
                      <a:off x="0" y="0"/>
                      <a:ext cx="5261610" cy="2821305"/>
                    </a:xfrm>
                    <a:prstGeom prst="rect">
                      <a:avLst/>
                    </a:prstGeom>
                    <a:noFill/>
                    <a:ln w="9525">
                      <a:solidFill>
                        <a:schemeClr val="tx1"/>
                      </a:solidFill>
                    </a:ln>
                  </pic:spPr>
                </pic:pic>
              </a:graphicData>
            </a:graphic>
          </wp:inline>
        </w:drawing>
      </w:r>
    </w:p>
    <w:p/>
    <w:p>
      <w:pPr>
        <w:jc w:val="center"/>
      </w:pPr>
    </w:p>
    <w:p>
      <w:pPr>
        <w:pStyle w:val="4"/>
        <w:numPr>
          <w:ilvl w:val="0"/>
          <w:numId w:val="7"/>
        </w:numPr>
      </w:pPr>
      <w:bookmarkStart w:id="48" w:name="_Toc1839603604"/>
      <w:bookmarkStart w:id="49" w:name="_Toc10620672"/>
      <w:r>
        <w:rPr>
          <w:rFonts w:hint="eastAsia"/>
        </w:rPr>
        <w:t>智能检索</w:t>
      </w:r>
      <w:bookmarkEnd w:id="48"/>
      <w:bookmarkEnd w:id="49"/>
    </w:p>
    <w:p>
      <w:pPr>
        <w:spacing w:line="360" w:lineRule="auto"/>
        <w:ind w:firstLine="420"/>
        <w:rPr>
          <w:rFonts w:ascii="仿宋" w:hAnsi="仿宋" w:eastAsia="仿宋"/>
          <w:sz w:val="28"/>
          <w:szCs w:val="28"/>
        </w:rPr>
      </w:pPr>
      <w:r>
        <w:rPr>
          <w:rFonts w:hint="eastAsia" w:ascii="仿宋" w:hAnsi="仿宋" w:eastAsia="仿宋"/>
          <w:sz w:val="28"/>
          <w:szCs w:val="28"/>
        </w:rPr>
        <w:t>高级检索添加了智能检索的功能，智能检索包括中英文扩展和主题词扩展。</w:t>
      </w:r>
    </w:p>
    <w:p>
      <w:r>
        <w:drawing>
          <wp:inline distT="0" distB="0" distL="114300" distR="114300">
            <wp:extent cx="5274310" cy="2879090"/>
            <wp:effectExtent l="12700" t="12700" r="21590" b="29210"/>
            <wp:docPr id="2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
                    <pic:cNvPicPr>
                      <a:picLocks noChangeAspect="1"/>
                    </pic:cNvPicPr>
                  </pic:nvPicPr>
                  <pic:blipFill>
                    <a:blip r:embed="rId30"/>
                    <a:stretch>
                      <a:fillRect/>
                    </a:stretch>
                  </pic:blipFill>
                  <pic:spPr>
                    <a:xfrm>
                      <a:off x="0" y="0"/>
                      <a:ext cx="5274310" cy="2879090"/>
                    </a:xfrm>
                    <a:prstGeom prst="rect">
                      <a:avLst/>
                    </a:prstGeom>
                    <a:noFill/>
                    <a:ln w="9525">
                      <a:solidFill>
                        <a:schemeClr val="tx1"/>
                      </a:solid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hAnsi="仿宋" w:eastAsia="仿宋"/>
          <w:sz w:val="28"/>
          <w:szCs w:val="28"/>
        </w:rPr>
        <w:t xml:space="preserve"> </w:t>
      </w:r>
    </w:p>
    <w:p/>
    <w:p>
      <w:pPr>
        <w:pStyle w:val="4"/>
        <w:numPr>
          <w:ilvl w:val="0"/>
          <w:numId w:val="7"/>
        </w:numPr>
      </w:pPr>
      <w:bookmarkStart w:id="50" w:name="_Toc480043860"/>
      <w:bookmarkStart w:id="51" w:name="_Toc895706569"/>
      <w:bookmarkStart w:id="52" w:name="_Toc10620673"/>
      <w:r>
        <w:rPr>
          <w:rFonts w:hint="eastAsia"/>
        </w:rPr>
        <w:t>智能识别</w:t>
      </w:r>
      <w:bookmarkEnd w:id="50"/>
      <w:bookmarkEnd w:id="51"/>
      <w:bookmarkEnd w:id="52"/>
    </w:p>
    <w:p>
      <w:pPr>
        <w:pStyle w:val="26"/>
        <w:ind w:firstLine="560"/>
      </w:pPr>
      <w:r>
        <w:rPr>
          <w:rFonts w:hint="eastAsia"/>
        </w:rPr>
        <w:t>智能检索指的是用户输入检索词，系统可以识别检索词的实体类型，智能提示用户是否要查找该实体。</w:t>
      </w:r>
    </w:p>
    <w:p>
      <w:pPr>
        <w:pStyle w:val="26"/>
        <w:ind w:firstLine="560"/>
      </w:pPr>
      <w:r>
        <w:rPr>
          <w:rFonts w:hint="eastAsia"/>
        </w:rPr>
        <w:t>例如，在检索框里，输入检索式：张建国，系统识别张建国属于学者，因而优先展示作者张建国发表的文献，并提供所有同名学者的名片供用户选择。</w:t>
      </w:r>
    </w:p>
    <w:p>
      <w:r>
        <w:drawing>
          <wp:inline distT="0" distB="0" distL="0" distR="0">
            <wp:extent cx="5274310" cy="1280795"/>
            <wp:effectExtent l="19050" t="19050" r="21590" b="1460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1"/>
                    <a:stretch>
                      <a:fillRect/>
                    </a:stretch>
                  </pic:blipFill>
                  <pic:spPr>
                    <a:xfrm>
                      <a:off x="0" y="0"/>
                      <a:ext cx="5274310" cy="1280795"/>
                    </a:xfrm>
                    <a:prstGeom prst="rect">
                      <a:avLst/>
                    </a:prstGeom>
                    <a:noFill/>
                    <a:ln w="9525">
                      <a:solidFill>
                        <a:schemeClr val="tx1"/>
                      </a:solidFill>
                    </a:ln>
                  </pic:spPr>
                </pic:pic>
              </a:graphicData>
            </a:graphic>
          </wp:inline>
        </w:drawing>
      </w:r>
    </w:p>
    <w:p>
      <w:pPr>
        <w:pStyle w:val="26"/>
        <w:ind w:firstLine="560"/>
      </w:pPr>
      <w:r>
        <w:rPr>
          <w:rFonts w:hint="eastAsia"/>
        </w:rPr>
        <w:t>例如，在检索框里，输入检索式：情报学报，系统识别情报学报为期刊名称，提示用户是否要查看《情报学报》这本刊。</w:t>
      </w:r>
    </w:p>
    <w:p>
      <w:r>
        <w:drawing>
          <wp:inline distT="0" distB="0" distL="0" distR="0">
            <wp:extent cx="5274310" cy="1134110"/>
            <wp:effectExtent l="19050" t="19050" r="21590" b="279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2"/>
                    <a:stretch>
                      <a:fillRect/>
                    </a:stretch>
                  </pic:blipFill>
                  <pic:spPr>
                    <a:xfrm>
                      <a:off x="0" y="0"/>
                      <a:ext cx="5274310" cy="1134110"/>
                    </a:xfrm>
                    <a:prstGeom prst="rect">
                      <a:avLst/>
                    </a:prstGeom>
                    <a:noFill/>
                    <a:ln w="9525">
                      <a:solidFill>
                        <a:schemeClr val="tx1"/>
                      </a:solidFill>
                    </a:ln>
                  </pic:spPr>
                </pic:pic>
              </a:graphicData>
            </a:graphic>
          </wp:inline>
        </w:drawing>
      </w:r>
    </w:p>
    <w:p>
      <w:pPr>
        <w:pStyle w:val="4"/>
        <w:numPr>
          <w:ilvl w:val="0"/>
          <w:numId w:val="7"/>
        </w:numPr>
      </w:pPr>
      <w:bookmarkStart w:id="53" w:name="_Toc10620674"/>
      <w:bookmarkStart w:id="54" w:name="_Toc279939713"/>
      <w:bookmarkStart w:id="55" w:name="_Toc480043861"/>
      <w:r>
        <w:rPr>
          <w:rFonts w:hint="eastAsia"/>
        </w:rPr>
        <w:t>二次</w:t>
      </w:r>
      <w:r>
        <w:t>检索</w:t>
      </w:r>
      <w:bookmarkEnd w:id="53"/>
      <w:bookmarkEnd w:id="54"/>
      <w:bookmarkEnd w:id="55"/>
    </w:p>
    <w:p>
      <w:pPr>
        <w:pStyle w:val="26"/>
        <w:ind w:firstLine="560"/>
      </w:pPr>
      <w:r>
        <w:rPr>
          <w:rFonts w:hint="eastAsia"/>
        </w:rPr>
        <w:t>在检索结果页面，还可以对该检索结果进行二次检索。二次检索可以对检索字段进行限定检索。二次检索的检索字段根据不同的资源会有所不同，主要有题名、作者、关键词、起始年、结束年。</w:t>
      </w:r>
    </w:p>
    <w:p>
      <w:pPr>
        <w:pStyle w:val="26"/>
        <w:ind w:firstLine="560"/>
      </w:pPr>
      <w:r>
        <w:rPr>
          <w:rFonts w:hint="eastAsia"/>
        </w:rPr>
        <w:t>例如，在检索框里，输入检索式：信息，得到如下检索结果。</w:t>
      </w:r>
    </w:p>
    <w:p>
      <w:r>
        <w:drawing>
          <wp:inline distT="0" distB="0" distL="0" distR="0">
            <wp:extent cx="5274310" cy="1338580"/>
            <wp:effectExtent l="19050" t="19050" r="21590" b="139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3"/>
                    <a:stretch>
                      <a:fillRect/>
                    </a:stretch>
                  </pic:blipFill>
                  <pic:spPr>
                    <a:xfrm>
                      <a:off x="0" y="0"/>
                      <a:ext cx="5274310" cy="1338580"/>
                    </a:xfrm>
                    <a:prstGeom prst="rect">
                      <a:avLst/>
                    </a:prstGeom>
                    <a:noFill/>
                    <a:ln w="9525">
                      <a:solidFill>
                        <a:schemeClr val="tx1"/>
                      </a:solidFill>
                    </a:ln>
                  </pic:spPr>
                </pic:pic>
              </a:graphicData>
            </a:graphic>
          </wp:inline>
        </w:drawing>
      </w:r>
    </w:p>
    <w:p>
      <w:pPr>
        <w:pStyle w:val="26"/>
        <w:ind w:firstLine="560"/>
      </w:pPr>
      <w:r>
        <w:rPr>
          <w:rFonts w:hint="eastAsia"/>
        </w:rPr>
        <w:t>对检索结果进行二次检索，限定标题为：资源管理</w:t>
      </w:r>
      <w:r>
        <w:t>。</w:t>
      </w:r>
    </w:p>
    <w:p>
      <w:r>
        <w:drawing>
          <wp:inline distT="0" distB="0" distL="114300" distR="114300">
            <wp:extent cx="5274310" cy="792480"/>
            <wp:effectExtent l="19050" t="19050" r="21590" b="266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4"/>
                    <a:stretch>
                      <a:fillRect/>
                    </a:stretch>
                  </pic:blipFill>
                  <pic:spPr>
                    <a:xfrm>
                      <a:off x="0" y="0"/>
                      <a:ext cx="5274310" cy="792480"/>
                    </a:xfrm>
                    <a:prstGeom prst="rect">
                      <a:avLst/>
                    </a:prstGeom>
                    <a:noFill/>
                    <a:ln w="9525">
                      <a:solidFill>
                        <a:schemeClr val="tx1"/>
                      </a:solidFill>
                    </a:ln>
                  </pic:spPr>
                </pic:pic>
              </a:graphicData>
            </a:graphic>
          </wp:inline>
        </w:drawing>
      </w:r>
    </w:p>
    <w:p>
      <w:pPr>
        <w:pStyle w:val="26"/>
        <w:ind w:firstLine="560"/>
      </w:pPr>
      <w:r>
        <w:rPr>
          <w:rFonts w:hint="eastAsia"/>
        </w:rPr>
        <w:t>点击“结果中检索”对检索结果进行精简，得到如下检索结果。</w:t>
      </w:r>
    </w:p>
    <w:p>
      <w:r>
        <w:drawing>
          <wp:inline distT="0" distB="0" distL="0" distR="0">
            <wp:extent cx="5274310" cy="625475"/>
            <wp:effectExtent l="19050" t="19050" r="21590" b="222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5"/>
                    <a:stretch>
                      <a:fillRect/>
                    </a:stretch>
                  </pic:blipFill>
                  <pic:spPr>
                    <a:xfrm>
                      <a:off x="0" y="0"/>
                      <a:ext cx="5274310" cy="625475"/>
                    </a:xfrm>
                    <a:prstGeom prst="rect">
                      <a:avLst/>
                    </a:prstGeom>
                    <a:noFill/>
                    <a:ln w="9525">
                      <a:solidFill>
                        <a:schemeClr val="tx1"/>
                      </a:solidFill>
                    </a:ln>
                  </pic:spPr>
                </pic:pic>
              </a:graphicData>
            </a:graphic>
          </wp:inline>
        </w:drawing>
      </w:r>
    </w:p>
    <w:p>
      <w:pPr>
        <w:pStyle w:val="4"/>
        <w:numPr>
          <w:ilvl w:val="0"/>
          <w:numId w:val="7"/>
        </w:numPr>
      </w:pPr>
      <w:bookmarkStart w:id="56" w:name="_Toc1957569461"/>
      <w:bookmarkStart w:id="57" w:name="_Toc480043862"/>
      <w:bookmarkStart w:id="58" w:name="_Toc10620675"/>
      <w:r>
        <w:rPr>
          <w:rFonts w:hint="eastAsia"/>
        </w:rPr>
        <w:t>检索历史</w:t>
      </w:r>
      <w:bookmarkEnd w:id="56"/>
      <w:bookmarkEnd w:id="57"/>
      <w:bookmarkEnd w:id="58"/>
    </w:p>
    <w:p>
      <w:pPr>
        <w:pStyle w:val="26"/>
        <w:ind w:firstLine="560"/>
      </w:pPr>
      <w:r>
        <w:rPr>
          <w:rFonts w:hint="eastAsia"/>
        </w:rPr>
        <w:t>万方智搜提供对用户的检索行为的记录即检索历史。检索框的右侧有检索历史的入口，单击进入检索历史界面。</w:t>
      </w:r>
    </w:p>
    <w:p>
      <w:r>
        <w:drawing>
          <wp:inline distT="0" distB="0" distL="0" distR="0">
            <wp:extent cx="5274310" cy="514350"/>
            <wp:effectExtent l="19050" t="19050" r="21590"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6"/>
                    <a:stretch>
                      <a:fillRect/>
                    </a:stretch>
                  </pic:blipFill>
                  <pic:spPr>
                    <a:xfrm>
                      <a:off x="0" y="0"/>
                      <a:ext cx="5274310" cy="514350"/>
                    </a:xfrm>
                    <a:prstGeom prst="rect">
                      <a:avLst/>
                    </a:prstGeom>
                    <a:noFill/>
                    <a:ln w="9525">
                      <a:solidFill>
                        <a:schemeClr val="tx1"/>
                      </a:solidFill>
                    </a:ln>
                  </pic:spPr>
                </pic:pic>
              </a:graphicData>
            </a:graphic>
          </wp:inline>
        </w:drawing>
      </w:r>
    </w:p>
    <w:p>
      <w:pPr>
        <w:pStyle w:val="26"/>
        <w:ind w:firstLine="560"/>
      </w:pPr>
      <w:r>
        <w:rPr>
          <w:rFonts w:hint="eastAsia"/>
        </w:rPr>
        <w:t>在检索历史界面，可以导出检索历史，包括检索式、检索结果数量、检索时间等。未登录状态下，用户没有清除缓存或清空检索历史，最多保存</w:t>
      </w:r>
      <w:r>
        <w:t>50条</w:t>
      </w:r>
      <w:r>
        <w:rPr>
          <w:rFonts w:hint="eastAsia"/>
        </w:rPr>
        <w:t>检索记录。在个人用户登录状态下，系统默认保存30天内最近500条检索记录，便于用户快捷的检索获取文献</w:t>
      </w:r>
      <w:r>
        <w:t>。</w:t>
      </w:r>
    </w:p>
    <w:p>
      <w:pPr>
        <w:pStyle w:val="26"/>
        <w:ind w:firstLine="560"/>
      </w:pPr>
      <w:r>
        <w:rPr>
          <w:rFonts w:hint="eastAsia"/>
        </w:rPr>
        <w:t>另外，用户也可以在检索历史页面，单击检索式进行重新检索。</w:t>
      </w:r>
      <w:r>
        <w:t xml:space="preserve"> </w:t>
      </w:r>
    </w:p>
    <w:p>
      <w:pPr>
        <w:rPr>
          <w:color w:val="FF0000"/>
        </w:rPr>
      </w:pPr>
      <w:r>
        <w:drawing>
          <wp:inline distT="0" distB="0" distL="0" distR="0">
            <wp:extent cx="5274310" cy="2154555"/>
            <wp:effectExtent l="19050" t="19050" r="21590" b="1714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37"/>
                    <a:stretch>
                      <a:fillRect/>
                    </a:stretch>
                  </pic:blipFill>
                  <pic:spPr>
                    <a:xfrm>
                      <a:off x="0" y="0"/>
                      <a:ext cx="5274310" cy="2154555"/>
                    </a:xfrm>
                    <a:prstGeom prst="rect">
                      <a:avLst/>
                    </a:prstGeom>
                    <a:noFill/>
                    <a:ln w="9525">
                      <a:solidFill>
                        <a:schemeClr val="tx1"/>
                      </a:solidFill>
                    </a:ln>
                  </pic:spPr>
                </pic:pic>
              </a:graphicData>
            </a:graphic>
          </wp:inline>
        </w:drawing>
      </w:r>
    </w:p>
    <w:p>
      <w:pPr>
        <w:pStyle w:val="3"/>
        <w:numPr>
          <w:ilvl w:val="0"/>
          <w:numId w:val="8"/>
        </w:numPr>
      </w:pPr>
      <w:bookmarkStart w:id="59" w:name="_Toc10620676"/>
      <w:bookmarkStart w:id="60" w:name="_Toc480043863"/>
      <w:bookmarkStart w:id="61" w:name="_Toc1420458987"/>
      <w:r>
        <w:rPr>
          <w:rFonts w:hint="eastAsia"/>
        </w:rPr>
        <w:t>检索结果</w:t>
      </w:r>
      <w:bookmarkEnd w:id="59"/>
      <w:bookmarkEnd w:id="60"/>
      <w:bookmarkEnd w:id="61"/>
    </w:p>
    <w:p>
      <w:pPr>
        <w:pStyle w:val="4"/>
        <w:numPr>
          <w:ilvl w:val="1"/>
          <w:numId w:val="9"/>
        </w:numPr>
      </w:pPr>
      <w:bookmarkStart w:id="62" w:name="_Toc10620677"/>
      <w:bookmarkStart w:id="63" w:name="_Toc480043864"/>
      <w:bookmarkStart w:id="64" w:name="_Toc78490810"/>
      <w:r>
        <w:rPr>
          <w:rFonts w:hint="eastAsia"/>
        </w:rPr>
        <w:t>结果展示</w:t>
      </w:r>
      <w:bookmarkEnd w:id="62"/>
      <w:bookmarkEnd w:id="63"/>
      <w:bookmarkEnd w:id="64"/>
    </w:p>
    <w:p>
      <w:pPr>
        <w:pStyle w:val="26"/>
        <w:ind w:firstLine="560"/>
      </w:pPr>
      <w:r>
        <w:rPr>
          <w:rFonts w:hint="eastAsia"/>
        </w:rPr>
        <w:t>检索结果可按详情式或列表式两种展示方式，详情式展示文献类型、题名、摘要、作者、关键词、来源、年/卷(期)等信息。</w:t>
      </w:r>
    </w:p>
    <w:p>
      <w:pPr>
        <w:jc w:val="center"/>
      </w:pPr>
      <w:r>
        <w:drawing>
          <wp:inline distT="0" distB="0" distL="114300" distR="114300">
            <wp:extent cx="5268595" cy="2238375"/>
            <wp:effectExtent l="12700" t="12700" r="27305" b="34925"/>
            <wp:docPr id="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
                    <pic:cNvPicPr>
                      <a:picLocks noChangeAspect="1"/>
                    </pic:cNvPicPr>
                  </pic:nvPicPr>
                  <pic:blipFill>
                    <a:blip r:embed="rId38"/>
                    <a:stretch>
                      <a:fillRect/>
                    </a:stretch>
                  </pic:blipFill>
                  <pic:spPr>
                    <a:xfrm>
                      <a:off x="0" y="0"/>
                      <a:ext cx="5268595" cy="2238375"/>
                    </a:xfrm>
                    <a:prstGeom prst="rect">
                      <a:avLst/>
                    </a:prstGeom>
                    <a:noFill/>
                    <a:ln w="9525">
                      <a:solidFill>
                        <a:schemeClr val="tx1"/>
                      </a:solidFill>
                    </a:ln>
                  </pic:spPr>
                </pic:pic>
              </a:graphicData>
            </a:graphic>
          </wp:inline>
        </w:drawing>
      </w:r>
    </w:p>
    <w:p>
      <w:pPr>
        <w:jc w:val="center"/>
      </w:pPr>
    </w:p>
    <w:p>
      <w:pPr>
        <w:pStyle w:val="26"/>
        <w:ind w:firstLine="560"/>
      </w:pPr>
      <w:r>
        <w:rPr>
          <w:rFonts w:hint="eastAsia"/>
        </w:rPr>
        <w:t>列表式只展示标题、作者、来源、时间等简要信息。</w:t>
      </w:r>
    </w:p>
    <w:p>
      <w:pPr>
        <w:jc w:val="center"/>
      </w:pPr>
      <w:r>
        <w:drawing>
          <wp:inline distT="0" distB="0" distL="114300" distR="114300">
            <wp:extent cx="5262880" cy="3046730"/>
            <wp:effectExtent l="12700" t="12700" r="33020" b="13970"/>
            <wp:docPr id="2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
                    <pic:cNvPicPr>
                      <a:picLocks noChangeAspect="1"/>
                    </pic:cNvPicPr>
                  </pic:nvPicPr>
                  <pic:blipFill>
                    <a:blip r:embed="rId39"/>
                    <a:stretch>
                      <a:fillRect/>
                    </a:stretch>
                  </pic:blipFill>
                  <pic:spPr>
                    <a:xfrm>
                      <a:off x="0" y="0"/>
                      <a:ext cx="5262880" cy="3046730"/>
                    </a:xfrm>
                    <a:prstGeom prst="rect">
                      <a:avLst/>
                    </a:prstGeom>
                    <a:noFill/>
                    <a:ln w="9525">
                      <a:solidFill>
                        <a:schemeClr val="tx1"/>
                      </a:solidFill>
                    </a:ln>
                  </pic:spPr>
                </pic:pic>
              </a:graphicData>
            </a:graphic>
          </wp:inline>
        </w:drawing>
      </w:r>
    </w:p>
    <w:p>
      <w:pPr>
        <w:pStyle w:val="26"/>
        <w:ind w:firstLine="560"/>
      </w:pPr>
      <w:r>
        <w:rPr>
          <w:rFonts w:hint="eastAsia"/>
        </w:rPr>
        <w:t>检索结果页中通过设置每页显示条数，用户可根据需要自由切换，每页显示20、30或50条。</w:t>
      </w:r>
    </w:p>
    <w:p>
      <w:pPr>
        <w:rPr>
          <w:rFonts w:ascii="仿宋" w:hAnsi="仿宋" w:eastAsia="仿宋"/>
          <w:sz w:val="28"/>
          <w:szCs w:val="28"/>
        </w:rPr>
      </w:pPr>
      <w:r>
        <w:drawing>
          <wp:inline distT="0" distB="0" distL="114300" distR="114300">
            <wp:extent cx="5267960" cy="2177415"/>
            <wp:effectExtent l="12700" t="12700" r="27940" b="19685"/>
            <wp:docPr id="2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
                    <pic:cNvPicPr>
                      <a:picLocks noChangeAspect="1"/>
                    </pic:cNvPicPr>
                  </pic:nvPicPr>
                  <pic:blipFill>
                    <a:blip r:embed="rId40"/>
                    <a:stretch>
                      <a:fillRect/>
                    </a:stretch>
                  </pic:blipFill>
                  <pic:spPr>
                    <a:xfrm>
                      <a:off x="0" y="0"/>
                      <a:ext cx="5267960" cy="2177415"/>
                    </a:xfrm>
                    <a:prstGeom prst="rect">
                      <a:avLst/>
                    </a:prstGeom>
                    <a:noFill/>
                    <a:ln w="9525">
                      <a:solidFill>
                        <a:schemeClr val="tx1"/>
                      </a:solidFill>
                    </a:ln>
                  </pic:spPr>
                </pic:pic>
              </a:graphicData>
            </a:graphic>
          </wp:inline>
        </w:drawing>
      </w:r>
    </w:p>
    <w:p>
      <w:pPr>
        <w:pStyle w:val="4"/>
        <w:numPr>
          <w:ilvl w:val="1"/>
          <w:numId w:val="9"/>
        </w:numPr>
      </w:pPr>
      <w:bookmarkStart w:id="65" w:name="_Toc640084412"/>
      <w:bookmarkStart w:id="66" w:name="_Toc480043865"/>
      <w:bookmarkStart w:id="67" w:name="_Toc10620678"/>
      <w:r>
        <w:rPr>
          <w:rFonts w:hint="eastAsia"/>
        </w:rPr>
        <w:t>结果排序</w:t>
      </w:r>
      <w:bookmarkEnd w:id="65"/>
      <w:bookmarkEnd w:id="66"/>
      <w:bookmarkEnd w:id="67"/>
    </w:p>
    <w:p>
      <w:pPr>
        <w:pStyle w:val="26"/>
        <w:ind w:firstLine="560"/>
      </w:pPr>
      <w:r>
        <w:rPr>
          <w:rFonts w:hint="eastAsia"/>
        </w:rPr>
        <w:t>万方智搜提供对检索结果的多维度排序，除了传统的相关度、出版时间、被引频次指标外，我们还提供了下载量等排序指标。而针对不同的资源类型，我们提供了不同的排序指标。</w:t>
      </w:r>
    </w:p>
    <w:p>
      <w:pPr>
        <w:pStyle w:val="26"/>
        <w:ind w:firstLine="560"/>
      </w:pPr>
      <w:r>
        <w:rPr>
          <w:rFonts w:hint="eastAsia"/>
        </w:rPr>
        <w:t>例如，针对学位论文资源，我们提供了学位授予时间等排序指标。</w:t>
      </w:r>
    </w:p>
    <w:p>
      <w:r>
        <w:drawing>
          <wp:inline distT="0" distB="0" distL="114300" distR="114300">
            <wp:extent cx="5263515" cy="1661795"/>
            <wp:effectExtent l="12700" t="12700" r="32385" b="27305"/>
            <wp:docPr id="2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
                    <pic:cNvPicPr>
                      <a:picLocks noChangeAspect="1"/>
                    </pic:cNvPicPr>
                  </pic:nvPicPr>
                  <pic:blipFill>
                    <a:blip r:embed="rId41"/>
                    <a:stretch>
                      <a:fillRect/>
                    </a:stretch>
                  </pic:blipFill>
                  <pic:spPr>
                    <a:xfrm>
                      <a:off x="0" y="0"/>
                      <a:ext cx="5263515" cy="1661795"/>
                    </a:xfrm>
                    <a:prstGeom prst="rect">
                      <a:avLst/>
                    </a:prstGeom>
                    <a:noFill/>
                    <a:ln w="9525">
                      <a:solidFill>
                        <a:schemeClr val="tx1"/>
                      </a:solidFill>
                    </a:ln>
                  </pic:spPr>
                </pic:pic>
              </a:graphicData>
            </a:graphic>
          </wp:inline>
        </w:drawing>
      </w:r>
    </w:p>
    <w:p>
      <w:pPr>
        <w:pStyle w:val="26"/>
        <w:ind w:firstLine="560"/>
      </w:pPr>
      <w:r>
        <w:rPr>
          <w:rFonts w:hint="eastAsia"/>
        </w:rPr>
        <w:t>针对专利资源，我们提供了专利的申请时间和公开时间等排序指标。</w:t>
      </w:r>
    </w:p>
    <w:p>
      <w:pPr>
        <w:pStyle w:val="26"/>
        <w:ind w:firstLine="0" w:firstLineChars="0"/>
      </w:pPr>
      <w:r>
        <w:drawing>
          <wp:inline distT="0" distB="0" distL="114300" distR="114300">
            <wp:extent cx="5269865" cy="1725930"/>
            <wp:effectExtent l="12700" t="12700" r="26035" b="13970"/>
            <wp:docPr id="2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1"/>
                    <pic:cNvPicPr>
                      <a:picLocks noChangeAspect="1"/>
                    </pic:cNvPicPr>
                  </pic:nvPicPr>
                  <pic:blipFill>
                    <a:blip r:embed="rId42"/>
                    <a:stretch>
                      <a:fillRect/>
                    </a:stretch>
                  </pic:blipFill>
                  <pic:spPr>
                    <a:xfrm>
                      <a:off x="0" y="0"/>
                      <a:ext cx="5269865" cy="1725930"/>
                    </a:xfrm>
                    <a:prstGeom prst="rect">
                      <a:avLst/>
                    </a:prstGeom>
                    <a:noFill/>
                    <a:ln w="9525">
                      <a:solidFill>
                        <a:schemeClr val="tx1"/>
                      </a:solidFill>
                    </a:ln>
                  </pic:spPr>
                </pic:pic>
              </a:graphicData>
            </a:graphic>
          </wp:inline>
        </w:drawing>
      </w:r>
    </w:p>
    <w:p>
      <w:pPr>
        <w:ind w:firstLine="420"/>
      </w:pPr>
      <w:r>
        <w:rPr>
          <w:rFonts w:hint="eastAsia" w:ascii="仿宋" w:hAnsi="仿宋" w:eastAsia="仿宋"/>
          <w:sz w:val="28"/>
          <w:szCs w:val="28"/>
        </w:rPr>
        <w:t>针对科技报告资源，我们提供了编制时间排序等排序指标。</w:t>
      </w:r>
    </w:p>
    <w:p>
      <w:r>
        <w:drawing>
          <wp:inline distT="0" distB="0" distL="114300" distR="114300">
            <wp:extent cx="5264150" cy="2007235"/>
            <wp:effectExtent l="12700" t="12700" r="31750" b="37465"/>
            <wp:docPr id="2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
                    <pic:cNvPicPr>
                      <a:picLocks noChangeAspect="1"/>
                    </pic:cNvPicPr>
                  </pic:nvPicPr>
                  <pic:blipFill>
                    <a:blip r:embed="rId43"/>
                    <a:stretch>
                      <a:fillRect/>
                    </a:stretch>
                  </pic:blipFill>
                  <pic:spPr>
                    <a:xfrm>
                      <a:off x="0" y="0"/>
                      <a:ext cx="5264150" cy="2007235"/>
                    </a:xfrm>
                    <a:prstGeom prst="rect">
                      <a:avLst/>
                    </a:prstGeom>
                    <a:noFill/>
                    <a:ln w="9525">
                      <a:solidFill>
                        <a:schemeClr val="tx1"/>
                      </a:solidFill>
                    </a:ln>
                  </pic:spPr>
                </pic:pic>
              </a:graphicData>
            </a:graphic>
          </wp:inline>
        </w:drawing>
      </w:r>
    </w:p>
    <w:p>
      <w:pPr>
        <w:pStyle w:val="26"/>
        <w:ind w:firstLine="560"/>
      </w:pPr>
      <w:r>
        <w:rPr>
          <w:rFonts w:hint="eastAsia"/>
        </w:rPr>
        <w:t>针对成果资源，我们提供了成果级别、</w:t>
      </w:r>
      <w:r>
        <w:t>公布年份</w:t>
      </w:r>
      <w:r>
        <w:rPr>
          <w:rFonts w:hint="eastAsia"/>
        </w:rPr>
        <w:t>等排序指标。</w:t>
      </w:r>
    </w:p>
    <w:p>
      <w:pPr>
        <w:pStyle w:val="26"/>
        <w:ind w:left="560" w:hanging="560" w:hangingChars="200"/>
      </w:pPr>
      <w:r>
        <w:drawing>
          <wp:inline distT="0" distB="0" distL="114300" distR="114300">
            <wp:extent cx="5273040" cy="1086485"/>
            <wp:effectExtent l="9525" t="9525" r="13335" b="2794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44"/>
                    <a:stretch>
                      <a:fillRect/>
                    </a:stretch>
                  </pic:blipFill>
                  <pic:spPr>
                    <a:xfrm>
                      <a:off x="0" y="0"/>
                      <a:ext cx="5273040" cy="1086485"/>
                    </a:xfrm>
                    <a:prstGeom prst="rect">
                      <a:avLst/>
                    </a:prstGeom>
                    <a:noFill/>
                    <a:ln>
                      <a:solidFill>
                        <a:schemeClr val="tx1"/>
                      </a:solidFill>
                    </a:ln>
                  </pic:spPr>
                </pic:pic>
              </a:graphicData>
            </a:graphic>
          </wp:inline>
        </w:drawing>
      </w:r>
    </w:p>
    <w:p>
      <w:pPr>
        <w:pStyle w:val="26"/>
        <w:ind w:firstLine="560"/>
      </w:pPr>
      <w:r>
        <w:rPr>
          <w:rFonts w:hint="eastAsia"/>
        </w:rPr>
        <w:t>针对法规资源，我们提供了颁布时间等</w:t>
      </w:r>
      <w:r>
        <w:rPr>
          <w:rFonts w:hint="eastAsia" w:ascii="宋体" w:hAnsi="宋体" w:cs="Arial"/>
          <w:szCs w:val="21"/>
        </w:rPr>
        <w:t>排序指标。</w:t>
      </w:r>
    </w:p>
    <w:p>
      <w:r>
        <w:drawing>
          <wp:inline distT="0" distB="0" distL="114300" distR="114300">
            <wp:extent cx="5267325" cy="1494790"/>
            <wp:effectExtent l="12700" t="12700" r="28575" b="16510"/>
            <wp:docPr id="2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
                    <pic:cNvPicPr>
                      <a:picLocks noChangeAspect="1"/>
                    </pic:cNvPicPr>
                  </pic:nvPicPr>
                  <pic:blipFill>
                    <a:blip r:embed="rId45"/>
                    <a:stretch>
                      <a:fillRect/>
                    </a:stretch>
                  </pic:blipFill>
                  <pic:spPr>
                    <a:xfrm>
                      <a:off x="0" y="0"/>
                      <a:ext cx="5267325" cy="1494790"/>
                    </a:xfrm>
                    <a:prstGeom prst="rect">
                      <a:avLst/>
                    </a:prstGeom>
                    <a:noFill/>
                    <a:ln w="9525">
                      <a:solidFill>
                        <a:schemeClr val="tx1"/>
                      </a:solidFill>
                    </a:ln>
                  </pic:spPr>
                </pic:pic>
              </a:graphicData>
            </a:graphic>
          </wp:inline>
        </w:drawing>
      </w:r>
    </w:p>
    <w:p>
      <w:pPr>
        <w:pStyle w:val="4"/>
        <w:numPr>
          <w:ilvl w:val="1"/>
          <w:numId w:val="9"/>
        </w:numPr>
      </w:pPr>
      <w:bookmarkStart w:id="68" w:name="_Toc480043866"/>
      <w:bookmarkStart w:id="69" w:name="_Toc1153124661"/>
      <w:bookmarkStart w:id="70" w:name="_Toc10620679"/>
      <w:r>
        <w:rPr>
          <w:rFonts w:hint="eastAsia"/>
        </w:rPr>
        <w:t>结果</w:t>
      </w:r>
      <w:r>
        <w:t>聚类</w:t>
      </w:r>
      <w:bookmarkEnd w:id="68"/>
      <w:bookmarkEnd w:id="69"/>
      <w:bookmarkEnd w:id="70"/>
    </w:p>
    <w:p>
      <w:pPr>
        <w:pStyle w:val="26"/>
        <w:ind w:firstLine="560"/>
      </w:pPr>
      <w:r>
        <w:rPr>
          <w:rFonts w:hint="eastAsia"/>
        </w:rPr>
        <w:t>结果聚类是在检索显示结果后，通过资源类型、出版时间、语种、来源数据库等限定条件进一步缩小检索结果范围。不同的检索范围下看，不同的文献类型，系统根据聚类显示的分面不同。</w:t>
      </w:r>
    </w:p>
    <w:p>
      <w:pPr>
        <w:pStyle w:val="26"/>
        <w:ind w:firstLine="560"/>
      </w:pPr>
      <w:r>
        <w:rPr>
          <w:rFonts w:hint="eastAsia"/>
        </w:rPr>
        <w:t>全部：通过资源类型、年份、学科分类、语种、来源数据库、作者、机构</w:t>
      </w:r>
      <w:r>
        <w:t>等</w:t>
      </w:r>
      <w:r>
        <w:rPr>
          <w:rFonts w:hint="eastAsia"/>
        </w:rPr>
        <w:t>分面限定对文献进行筛选。</w:t>
      </w:r>
    </w:p>
    <w:p>
      <w:pPr>
        <w:jc w:val="center"/>
        <w:rPr>
          <w:rFonts w:ascii="仿宋" w:hAnsi="仿宋" w:eastAsia="仿宋"/>
          <w:sz w:val="28"/>
          <w:szCs w:val="28"/>
        </w:rPr>
      </w:pPr>
      <w:r>
        <w:drawing>
          <wp:inline distT="0" distB="0" distL="0" distR="0">
            <wp:extent cx="5274310" cy="2238375"/>
            <wp:effectExtent l="19050" t="19050" r="21590" b="285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46"/>
                    <a:stretch>
                      <a:fillRect/>
                    </a:stretch>
                  </pic:blipFill>
                  <pic:spPr>
                    <a:xfrm>
                      <a:off x="0" y="0"/>
                      <a:ext cx="5274310" cy="2238375"/>
                    </a:xfrm>
                    <a:prstGeom prst="rect">
                      <a:avLst/>
                    </a:prstGeom>
                    <a:noFill/>
                    <a:ln w="9525">
                      <a:solidFill>
                        <a:schemeClr val="tx1"/>
                      </a:solidFill>
                    </a:ln>
                  </pic:spPr>
                </pic:pic>
              </a:graphicData>
            </a:graphic>
          </wp:inline>
        </w:drawing>
      </w:r>
    </w:p>
    <w:p>
      <w:pPr>
        <w:pStyle w:val="26"/>
        <w:ind w:firstLine="560"/>
      </w:pPr>
      <w:r>
        <w:rPr>
          <w:rFonts w:hint="eastAsia"/>
        </w:rPr>
        <w:t>期刊：通过年份、学科分类、核心收录、语种、来源数据库、</w:t>
      </w:r>
      <w:r>
        <w:t>刊名</w:t>
      </w:r>
      <w:r>
        <w:rPr>
          <w:rFonts w:hint="eastAsia"/>
        </w:rPr>
        <w:t>、出版状态、作者、作者单位</w:t>
      </w:r>
      <w:r>
        <w:t>等</w:t>
      </w:r>
      <w:r>
        <w:rPr>
          <w:rFonts w:hint="eastAsia"/>
        </w:rPr>
        <w:t>分面限定对期刊论文进行筛选。</w:t>
      </w:r>
    </w:p>
    <w:p>
      <w:r>
        <w:drawing>
          <wp:inline distT="0" distB="0" distL="0" distR="0">
            <wp:extent cx="5274310" cy="2496185"/>
            <wp:effectExtent l="19050" t="19050" r="21590" b="1841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7"/>
                    <a:stretch>
                      <a:fillRect/>
                    </a:stretch>
                  </pic:blipFill>
                  <pic:spPr>
                    <a:xfrm>
                      <a:off x="0" y="0"/>
                      <a:ext cx="5274310" cy="2496185"/>
                    </a:xfrm>
                    <a:prstGeom prst="rect">
                      <a:avLst/>
                    </a:prstGeom>
                    <a:noFill/>
                    <a:ln w="9525">
                      <a:solidFill>
                        <a:schemeClr val="tx1"/>
                      </a:solidFill>
                    </a:ln>
                  </pic:spPr>
                </pic:pic>
              </a:graphicData>
            </a:graphic>
          </wp:inline>
        </w:drawing>
      </w:r>
    </w:p>
    <w:p>
      <w:pPr>
        <w:pStyle w:val="26"/>
        <w:ind w:firstLine="560"/>
      </w:pPr>
      <w:r>
        <w:rPr>
          <w:rFonts w:hint="eastAsia"/>
        </w:rPr>
        <w:t>学位：通过学位授予时间、学科分类、授予学位、学位授予单位、语种、来源数据库、导师等</w:t>
      </w:r>
      <w:r>
        <w:t>分</w:t>
      </w:r>
      <w:r>
        <w:rPr>
          <w:rFonts w:hint="eastAsia"/>
        </w:rPr>
        <w:t>面限定对学位论文进行筛选。</w:t>
      </w:r>
    </w:p>
    <w:p>
      <w:r>
        <w:drawing>
          <wp:inline distT="0" distB="0" distL="0" distR="0">
            <wp:extent cx="5274310" cy="2252345"/>
            <wp:effectExtent l="19050" t="19050" r="21590" b="1460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48"/>
                    <a:stretch>
                      <a:fillRect/>
                    </a:stretch>
                  </pic:blipFill>
                  <pic:spPr>
                    <a:xfrm>
                      <a:off x="0" y="0"/>
                      <a:ext cx="5274310" cy="2252345"/>
                    </a:xfrm>
                    <a:prstGeom prst="rect">
                      <a:avLst/>
                    </a:prstGeom>
                    <a:noFill/>
                    <a:ln w="9525">
                      <a:solidFill>
                        <a:schemeClr val="tx1"/>
                      </a:solidFill>
                    </a:ln>
                  </pic:spPr>
                </pic:pic>
              </a:graphicData>
            </a:graphic>
          </wp:inline>
        </w:drawing>
      </w:r>
    </w:p>
    <w:p>
      <w:pPr>
        <w:pStyle w:val="26"/>
        <w:ind w:firstLine="560"/>
      </w:pPr>
    </w:p>
    <w:p>
      <w:pPr>
        <w:rPr>
          <w:rFonts w:ascii="仿宋" w:hAnsi="仿宋" w:eastAsia="仿宋"/>
          <w:sz w:val="28"/>
          <w:szCs w:val="28"/>
        </w:rPr>
      </w:pPr>
    </w:p>
    <w:p>
      <w:pPr>
        <w:pStyle w:val="4"/>
        <w:numPr>
          <w:ilvl w:val="1"/>
          <w:numId w:val="9"/>
        </w:numPr>
      </w:pPr>
      <w:bookmarkStart w:id="71" w:name="_Toc1673746899"/>
      <w:bookmarkStart w:id="72" w:name="_Toc480043867"/>
      <w:bookmarkStart w:id="73" w:name="_Toc10620680"/>
      <w:r>
        <w:rPr>
          <w:rFonts w:hint="eastAsia"/>
        </w:rPr>
        <w:t>结果</w:t>
      </w:r>
      <w:r>
        <w:t>限定</w:t>
      </w:r>
      <w:bookmarkEnd w:id="71"/>
      <w:bookmarkEnd w:id="72"/>
      <w:bookmarkEnd w:id="73"/>
    </w:p>
    <w:p>
      <w:pPr>
        <w:pStyle w:val="26"/>
        <w:ind w:firstLine="560"/>
      </w:pPr>
      <w:r>
        <w:rPr>
          <w:rFonts w:hint="eastAsia"/>
        </w:rPr>
        <w:t>用户可通过“</w:t>
      </w:r>
      <w:r>
        <w:t>获取</w:t>
      </w:r>
      <w:r>
        <w:rPr>
          <w:rFonts w:hint="eastAsia"/>
        </w:rPr>
        <w:t>范围”的分面来对结果</w:t>
      </w:r>
      <w:r>
        <w:t>获取</w:t>
      </w:r>
      <w:r>
        <w:rPr>
          <w:rFonts w:hint="eastAsia"/>
        </w:rPr>
        <w:t>范围进行限定，包括原文链接、有全文的资源、原文传递的资源、国外出版物。“只看第一作者”限定可在检索作者时限制显示该作者为第一作者的文献。</w:t>
      </w:r>
    </w:p>
    <w:p>
      <w:pPr>
        <w:pStyle w:val="26"/>
        <w:ind w:firstLine="560"/>
      </w:pPr>
      <w:r>
        <w:rPr>
          <w:rFonts w:hint="eastAsia"/>
        </w:rPr>
        <w:t>但是由于技术研发进度等因素，目前</w:t>
      </w:r>
      <w:r>
        <w:t>暂时</w:t>
      </w:r>
      <w:r>
        <w:rPr>
          <w:rFonts w:hint="eastAsia"/>
        </w:rPr>
        <w:t>将显示范围单独作为下拉框的形式操作实现限定展示。</w:t>
      </w:r>
    </w:p>
    <w:p>
      <w:r>
        <w:drawing>
          <wp:inline distT="0" distB="0" distL="0" distR="0">
            <wp:extent cx="5274310" cy="2318385"/>
            <wp:effectExtent l="19050" t="19050" r="21590" b="2476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49"/>
                    <a:stretch>
                      <a:fillRect/>
                    </a:stretch>
                  </pic:blipFill>
                  <pic:spPr>
                    <a:xfrm>
                      <a:off x="0" y="0"/>
                      <a:ext cx="5274310" cy="2318385"/>
                    </a:xfrm>
                    <a:prstGeom prst="rect">
                      <a:avLst/>
                    </a:prstGeom>
                    <a:noFill/>
                    <a:ln w="9525">
                      <a:solidFill>
                        <a:schemeClr val="tx1"/>
                      </a:solidFill>
                    </a:ln>
                  </pic:spPr>
                </pic:pic>
              </a:graphicData>
            </a:graphic>
          </wp:inline>
        </w:drawing>
      </w:r>
    </w:p>
    <w:p>
      <w:pPr>
        <w:pStyle w:val="3"/>
      </w:pPr>
      <w:bookmarkStart w:id="74" w:name="_Toc480043870"/>
      <w:bookmarkStart w:id="75" w:name="_Toc775839440"/>
      <w:bookmarkStart w:id="76" w:name="_Toc10620683"/>
      <w:bookmarkStart w:id="77" w:name="_Toc480043875"/>
      <w:r>
        <w:rPr>
          <w:rFonts w:hint="eastAsia"/>
        </w:rPr>
        <w:t>文献获取</w:t>
      </w:r>
      <w:bookmarkEnd w:id="74"/>
      <w:bookmarkEnd w:id="75"/>
      <w:bookmarkEnd w:id="76"/>
    </w:p>
    <w:p>
      <w:pPr>
        <w:pStyle w:val="26"/>
        <w:ind w:firstLine="560"/>
      </w:pPr>
      <w:r>
        <w:rPr>
          <w:rFonts w:hint="eastAsia"/>
        </w:rPr>
        <w:t>万方智搜在知识产权许可下，为用户提供资源多种渠道的获取服务，帮助用户便捷获取所需资源，实现快速、简便、易用、流畅的无缝检索体验与文献获取保障。</w:t>
      </w:r>
    </w:p>
    <w:p>
      <w:pPr>
        <w:pStyle w:val="4"/>
        <w:numPr>
          <w:ilvl w:val="0"/>
          <w:numId w:val="10"/>
        </w:numPr>
      </w:pPr>
      <w:bookmarkStart w:id="78" w:name="_Toc10620684"/>
      <w:bookmarkStart w:id="79" w:name="_Toc480043871"/>
      <w:bookmarkStart w:id="80" w:name="_Toc12763496"/>
      <w:r>
        <w:rPr>
          <w:rFonts w:hint="eastAsia"/>
        </w:rPr>
        <w:t>在线阅读</w:t>
      </w:r>
      <w:bookmarkEnd w:id="78"/>
      <w:bookmarkEnd w:id="79"/>
      <w:bookmarkEnd w:id="80"/>
    </w:p>
    <w:p>
      <w:pPr>
        <w:pStyle w:val="26"/>
        <w:ind w:firstLine="560"/>
      </w:pPr>
      <w:r>
        <w:rPr>
          <w:rFonts w:hint="eastAsia"/>
        </w:rPr>
        <w:t>万方智搜支持全文的在线阅读的，包括期刊、学位。单击检索结果页面和文献详情页面的“在线阅读”按钮可以查看文献。</w:t>
      </w:r>
    </w:p>
    <w:p>
      <w:r>
        <w:drawing>
          <wp:inline distT="0" distB="0" distL="0" distR="0">
            <wp:extent cx="5274310" cy="1115695"/>
            <wp:effectExtent l="19050" t="19050" r="21590" b="273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0"/>
                    <a:stretch>
                      <a:fillRect/>
                    </a:stretch>
                  </pic:blipFill>
                  <pic:spPr>
                    <a:xfrm>
                      <a:off x="0" y="0"/>
                      <a:ext cx="5274310" cy="1115695"/>
                    </a:xfrm>
                    <a:prstGeom prst="rect">
                      <a:avLst/>
                    </a:prstGeom>
                    <a:noFill/>
                    <a:ln w="9525">
                      <a:solidFill>
                        <a:schemeClr val="tx1"/>
                      </a:solidFill>
                    </a:ln>
                  </pic:spPr>
                </pic:pic>
              </a:graphicData>
            </a:graphic>
          </wp:inline>
        </w:drawing>
      </w:r>
    </w:p>
    <w:p>
      <w:r>
        <w:drawing>
          <wp:inline distT="0" distB="0" distL="0" distR="0">
            <wp:extent cx="5274310" cy="2814955"/>
            <wp:effectExtent l="19050" t="19050" r="21590" b="234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a:stretch>
                      <a:fillRect/>
                    </a:stretch>
                  </pic:blipFill>
                  <pic:spPr>
                    <a:xfrm>
                      <a:off x="0" y="0"/>
                      <a:ext cx="5274310" cy="2814955"/>
                    </a:xfrm>
                    <a:prstGeom prst="rect">
                      <a:avLst/>
                    </a:prstGeom>
                    <a:noFill/>
                    <a:ln w="9525">
                      <a:solidFill>
                        <a:schemeClr val="tx1"/>
                      </a:solidFill>
                    </a:ln>
                  </pic:spPr>
                </pic:pic>
              </a:graphicData>
            </a:graphic>
          </wp:inline>
        </w:drawing>
      </w:r>
    </w:p>
    <w:p>
      <w:pPr>
        <w:pStyle w:val="26"/>
        <w:ind w:firstLine="0" w:firstLineChars="0"/>
        <w:jc w:val="left"/>
      </w:pPr>
    </w:p>
    <w:p>
      <w:pPr>
        <w:pStyle w:val="4"/>
        <w:numPr>
          <w:ilvl w:val="0"/>
          <w:numId w:val="10"/>
        </w:numPr>
      </w:pPr>
      <w:bookmarkStart w:id="81" w:name="_Toc480043872"/>
      <w:bookmarkStart w:id="82" w:name="_Toc10620685"/>
      <w:bookmarkStart w:id="83" w:name="_Toc1915196219"/>
      <w:r>
        <w:rPr>
          <w:rFonts w:hint="eastAsia"/>
        </w:rPr>
        <w:t>文献下载</w:t>
      </w:r>
      <w:bookmarkEnd w:id="81"/>
      <w:bookmarkEnd w:id="82"/>
      <w:bookmarkEnd w:id="83"/>
    </w:p>
    <w:p>
      <w:pPr>
        <w:pStyle w:val="26"/>
        <w:ind w:firstLine="560"/>
      </w:pPr>
      <w:r>
        <w:rPr>
          <w:rFonts w:hint="eastAsia"/>
        </w:rPr>
        <w:t>万方</w:t>
      </w:r>
      <w:r>
        <w:t>智搜</w:t>
      </w:r>
      <w:r>
        <w:rPr>
          <w:rFonts w:hint="eastAsia"/>
        </w:rPr>
        <w:t>支持用户对已</w:t>
      </w:r>
      <w:r>
        <w:t>收录全文的资源进行</w:t>
      </w:r>
      <w:r>
        <w:rPr>
          <w:rFonts w:hint="eastAsia"/>
        </w:rPr>
        <w:t>全文下载，包括期刊、学位、会议、专利、法规、地方志等资源。用户可以单击检索结果页面和文献详情页面的“下载”按钮下载文献。</w:t>
      </w:r>
    </w:p>
    <w:p>
      <w:pPr>
        <w:pStyle w:val="26"/>
        <w:ind w:firstLine="0" w:firstLineChars="0"/>
        <w:jc w:val="center"/>
      </w:pPr>
      <w:r>
        <w:drawing>
          <wp:inline distT="0" distB="0" distL="0" distR="0">
            <wp:extent cx="5274310" cy="1029970"/>
            <wp:effectExtent l="19050" t="19050" r="21590" b="1778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52"/>
                    <a:stretch>
                      <a:fillRect/>
                    </a:stretch>
                  </pic:blipFill>
                  <pic:spPr>
                    <a:xfrm>
                      <a:off x="0" y="0"/>
                      <a:ext cx="5274310" cy="1029970"/>
                    </a:xfrm>
                    <a:prstGeom prst="rect">
                      <a:avLst/>
                    </a:prstGeom>
                    <a:noFill/>
                    <a:ln w="9525">
                      <a:solidFill>
                        <a:schemeClr val="tx1"/>
                      </a:solidFill>
                    </a:ln>
                  </pic:spPr>
                </pic:pic>
              </a:graphicData>
            </a:graphic>
          </wp:inline>
        </w:drawing>
      </w:r>
    </w:p>
    <w:p>
      <w:pPr>
        <w:pStyle w:val="26"/>
        <w:ind w:firstLine="0" w:firstLineChars="0"/>
      </w:pPr>
      <w:r>
        <w:drawing>
          <wp:inline distT="0" distB="0" distL="0" distR="0">
            <wp:extent cx="5274310" cy="2868930"/>
            <wp:effectExtent l="19050" t="19050" r="21590" b="266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3"/>
                    <a:stretch>
                      <a:fillRect/>
                    </a:stretch>
                  </pic:blipFill>
                  <pic:spPr>
                    <a:xfrm>
                      <a:off x="0" y="0"/>
                      <a:ext cx="5274310" cy="2868930"/>
                    </a:xfrm>
                    <a:prstGeom prst="rect">
                      <a:avLst/>
                    </a:prstGeom>
                    <a:noFill/>
                    <a:ln w="9525">
                      <a:solidFill>
                        <a:schemeClr val="tx1"/>
                      </a:solidFill>
                    </a:ln>
                  </pic:spPr>
                </pic:pic>
              </a:graphicData>
            </a:graphic>
          </wp:inline>
        </w:drawing>
      </w:r>
    </w:p>
    <w:p>
      <w:pPr>
        <w:pStyle w:val="4"/>
        <w:numPr>
          <w:ilvl w:val="0"/>
          <w:numId w:val="10"/>
        </w:numPr>
      </w:pPr>
      <w:bookmarkStart w:id="84" w:name="_Toc480043874"/>
      <w:bookmarkStart w:id="85" w:name="_Toc10620687"/>
      <w:bookmarkStart w:id="86" w:name="_Toc70467850"/>
      <w:bookmarkStart w:id="87" w:name="_Hlk495672366"/>
      <w:r>
        <w:rPr>
          <w:rFonts w:hint="eastAsia"/>
        </w:rPr>
        <w:t>多来源</w:t>
      </w:r>
      <w:bookmarkEnd w:id="84"/>
      <w:r>
        <w:rPr>
          <w:rFonts w:hint="eastAsia"/>
        </w:rPr>
        <w:t>获取</w:t>
      </w:r>
      <w:bookmarkEnd w:id="85"/>
      <w:bookmarkEnd w:id="86"/>
    </w:p>
    <w:bookmarkEnd w:id="87"/>
    <w:p>
      <w:pPr>
        <w:pStyle w:val="26"/>
        <w:ind w:firstLine="560"/>
      </w:pPr>
      <w:r>
        <w:rPr>
          <w:rFonts w:hint="eastAsia"/>
        </w:rPr>
        <w:t>系统还提供对资源的多来源展示。一方面为提供多来源的资源发现，同时也提供了稳定的全文获取途径。</w:t>
      </w:r>
    </w:p>
    <w:p>
      <w:pPr>
        <w:pStyle w:val="26"/>
        <w:ind w:firstLine="0" w:firstLineChars="0"/>
      </w:pPr>
      <w:r>
        <w:drawing>
          <wp:inline distT="0" distB="0" distL="0" distR="0">
            <wp:extent cx="5274310" cy="1264920"/>
            <wp:effectExtent l="19050" t="19050" r="21590" b="1143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54"/>
                    <a:stretch>
                      <a:fillRect/>
                    </a:stretch>
                  </pic:blipFill>
                  <pic:spPr>
                    <a:xfrm>
                      <a:off x="0" y="0"/>
                      <a:ext cx="5274310" cy="1264920"/>
                    </a:xfrm>
                    <a:prstGeom prst="rect">
                      <a:avLst/>
                    </a:prstGeom>
                    <a:noFill/>
                    <a:ln w="9525">
                      <a:solidFill>
                        <a:schemeClr val="tx1"/>
                      </a:solidFill>
                    </a:ln>
                  </pic:spPr>
                </pic:pic>
              </a:graphicData>
            </a:graphic>
          </wp:inline>
        </w:drawing>
      </w:r>
    </w:p>
    <w:p>
      <w:pPr>
        <w:pStyle w:val="26"/>
        <w:ind w:firstLine="0" w:firstLineChars="0"/>
      </w:pPr>
      <w:r>
        <w:drawing>
          <wp:inline distT="0" distB="0" distL="0" distR="0">
            <wp:extent cx="5274310" cy="2506345"/>
            <wp:effectExtent l="19050" t="19050" r="21590" b="2730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55"/>
                    <a:stretch>
                      <a:fillRect/>
                    </a:stretch>
                  </pic:blipFill>
                  <pic:spPr>
                    <a:xfrm>
                      <a:off x="0" y="0"/>
                      <a:ext cx="5274310" cy="2506345"/>
                    </a:xfrm>
                    <a:prstGeom prst="rect">
                      <a:avLst/>
                    </a:prstGeom>
                    <a:noFill/>
                    <a:ln w="9525">
                      <a:solidFill>
                        <a:schemeClr val="tx1"/>
                      </a:solidFill>
                    </a:ln>
                  </pic:spPr>
                </pic:pic>
              </a:graphicData>
            </a:graphic>
          </wp:inline>
        </w:drawing>
      </w:r>
    </w:p>
    <w:p>
      <w:pPr>
        <w:pStyle w:val="4"/>
        <w:numPr>
          <w:ilvl w:val="0"/>
          <w:numId w:val="10"/>
        </w:numPr>
      </w:pPr>
      <w:bookmarkStart w:id="88" w:name="_Toc10620688"/>
      <w:bookmarkStart w:id="89" w:name="_Toc1089665453"/>
      <w:r>
        <w:rPr>
          <w:rFonts w:hint="eastAsia"/>
        </w:rPr>
        <w:t>国内外文献保障</w:t>
      </w:r>
      <w:bookmarkEnd w:id="88"/>
      <w:bookmarkEnd w:id="89"/>
    </w:p>
    <w:p>
      <w:pPr>
        <w:pStyle w:val="26"/>
        <w:ind w:firstLine="560"/>
      </w:pPr>
      <w:r>
        <w:rPr>
          <w:rFonts w:hint="eastAsia"/>
        </w:rPr>
        <w:t>针对购买国内外文献保障服务的机构用户，</w:t>
      </w:r>
      <w:r>
        <w:t>系统</w:t>
      </w:r>
      <w:r>
        <w:rPr>
          <w:rFonts w:hint="eastAsia"/>
        </w:rPr>
        <w:t>提供国家工程技术数字图书馆（ISTIC）收录的部分中外文期刊、中外文会议、中文学位论文的检索与获取。</w:t>
      </w:r>
    </w:p>
    <w:p>
      <w:pPr>
        <w:pStyle w:val="26"/>
        <w:ind w:firstLine="560"/>
      </w:pPr>
      <w:r>
        <w:rPr>
          <w:rFonts w:hint="eastAsia"/>
        </w:rPr>
        <w:t>用户登录了开通国内外文献保障服务的机构账号后，可以在检索结果页面的右上角看到“国内外文献保障服务”的标签，单击后进入国内外文献保障服务系统的检索和获取。</w:t>
      </w:r>
    </w:p>
    <w:p>
      <w:r>
        <w:rPr>
          <w:sz w:val="21"/>
        </w:rPr>
        <mc:AlternateContent>
          <mc:Choice Requires="wps">
            <w:drawing>
              <wp:anchor distT="0" distB="0" distL="114300" distR="114300" simplePos="0" relativeHeight="251660288" behindDoc="0" locked="0" layoutInCell="1" allowOverlap="1">
                <wp:simplePos x="0" y="0"/>
                <wp:positionH relativeFrom="column">
                  <wp:posOffset>4364355</wp:posOffset>
                </wp:positionH>
                <wp:positionV relativeFrom="paragraph">
                  <wp:posOffset>1461770</wp:posOffset>
                </wp:positionV>
                <wp:extent cx="228600" cy="457200"/>
                <wp:effectExtent l="15240" t="8890" r="35560" b="16510"/>
                <wp:wrapNone/>
                <wp:docPr id="26" name="上箭头 26"/>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3.65pt;margin-top:115.1pt;height:36pt;width:18pt;z-index:251660288;v-text-anchor:middle;mso-width-relative:page;mso-height-relative:page;" fillcolor="#4472C4 [3204]" filled="t" stroked="t" coordsize="21600,21600" o:gfxdata="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Ag5jde1wAAAAsBAAAPAAAAAAAAAAEAIAAAADgAAABkcnMvZG93bnJldi54bWxQSwEC&#10;FAAUAAAACACHTuJADWSHoYoCAAAcBQAADgAAAAAAAAABACAAAAA8AQAAZHJzL2Uyb0RvYy54bWxQ&#10;SwUGAAAAAAYABgBZAQAAOAYAAAAA&#10;" adj="5400,5400">
                <v:fill on="t" focussize="0,0"/>
                <v:stroke weight="1pt" color="#2F528F [3204]" miterlimit="8" joinstyle="miter"/>
                <v:imagedata o:title=""/>
                <o:lock v:ext="edit" aspectratio="f"/>
              </v:shape>
            </w:pict>
          </mc:Fallback>
        </mc:AlternateContent>
      </w:r>
      <w:r>
        <w:drawing>
          <wp:inline distT="0" distB="0" distL="114300" distR="114300">
            <wp:extent cx="5269230" cy="1712595"/>
            <wp:effectExtent l="0" t="0" r="1397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6"/>
                    <a:stretch>
                      <a:fillRect/>
                    </a:stretch>
                  </pic:blipFill>
                  <pic:spPr>
                    <a:xfrm>
                      <a:off x="0" y="0"/>
                      <a:ext cx="5269230" cy="1712595"/>
                    </a:xfrm>
                    <a:prstGeom prst="rect">
                      <a:avLst/>
                    </a:prstGeom>
                    <a:noFill/>
                    <a:ln>
                      <a:noFill/>
                    </a:ln>
                  </pic:spPr>
                </pic:pic>
              </a:graphicData>
            </a:graphic>
          </wp:inline>
        </w:drawing>
      </w:r>
    </w:p>
    <w:bookmarkEnd w:id="2"/>
    <w:bookmarkEnd w:id="77"/>
    <w:p>
      <w:bookmarkStart w:id="90" w:name="_GoBack"/>
      <w:r>
        <w:rPr>
          <w:sz w:val="21"/>
        </w:rPr>
        <mc:AlternateContent>
          <mc:Choice Requires="wps">
            <w:drawing>
              <wp:anchor distT="0" distB="0" distL="114300" distR="114300" simplePos="0" relativeHeight="251661312" behindDoc="0" locked="0" layoutInCell="1" allowOverlap="1">
                <wp:simplePos x="0" y="0"/>
                <wp:positionH relativeFrom="column">
                  <wp:posOffset>427355</wp:posOffset>
                </wp:positionH>
                <wp:positionV relativeFrom="paragraph">
                  <wp:posOffset>3780790</wp:posOffset>
                </wp:positionV>
                <wp:extent cx="228600" cy="457200"/>
                <wp:effectExtent l="15240" t="8890" r="35560" b="16510"/>
                <wp:wrapNone/>
                <wp:docPr id="29" name="上箭头 29"/>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65pt;margin-top:297.7pt;height:36pt;width:18pt;z-index:251661312;v-text-anchor:middle;mso-width-relative:page;mso-height-relative:page;" fillcolor="#4472C4 [3204]" filled="t" stroked="t" coordsize="21600,21600" o:gfxdata="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I68n4dgAAAAKAQAADwAAAAAAAAABACAAAAA4AAAAZHJzL2Rvd25yZXYueG1sUEsB&#10;AhQAFAAAAAgAh07iQJ8cdh6KAgAAHAUAAA4AAAAAAAAAAQAgAAAAPQEAAGRycy9lMm9Eb2MueG1s&#10;UEsFBgAAAAAGAAYAWQEAADkGAAAAAA==&#10;" adj="5400,5400">
                <v:fill on="t" focussize="0,0"/>
                <v:stroke weight="1pt" color="#2F528F [3204]" miterlimit="8" joinstyle="miter"/>
                <v:imagedata o:title=""/>
                <o:lock v:ext="edit" aspectratio="f"/>
              </v:shape>
            </w:pict>
          </mc:Fallback>
        </mc:AlternateContent>
      </w:r>
      <w:bookmarkEnd w:id="90"/>
      <w:r>
        <w:rPr>
          <w:sz w:val="21"/>
        </w:rPr>
        <mc:AlternateContent>
          <mc:Choice Requires="wps">
            <w:drawing>
              <wp:anchor distT="0" distB="0" distL="114300" distR="114300" simplePos="0" relativeHeight="251659264" behindDoc="0" locked="0" layoutInCell="1" allowOverlap="1">
                <wp:simplePos x="0" y="0"/>
                <wp:positionH relativeFrom="column">
                  <wp:posOffset>782955</wp:posOffset>
                </wp:positionH>
                <wp:positionV relativeFrom="paragraph">
                  <wp:posOffset>1634490</wp:posOffset>
                </wp:positionV>
                <wp:extent cx="228600" cy="457200"/>
                <wp:effectExtent l="15240" t="8890" r="35560" b="16510"/>
                <wp:wrapNone/>
                <wp:docPr id="17" name="上箭头 17"/>
                <wp:cNvGraphicFramePr/>
                <a:graphic xmlns:a="http://schemas.openxmlformats.org/drawingml/2006/main">
                  <a:graphicData uri="http://schemas.microsoft.com/office/word/2010/wordprocessingShape">
                    <wps:wsp>
                      <wps:cNvSpPr/>
                      <wps:spPr>
                        <a:xfrm>
                          <a:off x="2510155" y="6483350"/>
                          <a:ext cx="228600"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1.65pt;margin-top:128.7pt;height:36pt;width:18pt;z-index:251659264;v-text-anchor:middle;mso-width-relative:page;mso-height-relative:page;" fillcolor="#4472C4 [3204]" filled="t" stroked="t" coordsize="21600,21600" o:gfxdata="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G40QxnYAAAACwEAAA8AAAAAAAAAAQAgAAAAOAAAAGRycy9k&#10;b3ducmV2LnhtbFBLAQIUABQAAAAIAIdO4kAH9Bm+lwIAACgFAAAOAAAAAAAAAAEAIAAAAD0BAABk&#10;cnMvZTJvRG9jLnhtbFBLBQYAAAAABgAGAFkBAABGBgAAAAA=&#10;" adj="5400,5400">
                <v:fill on="t" focussize="0,0"/>
                <v:stroke weight="1pt" color="#2F528F [3204]" miterlimit="8" joinstyle="miter"/>
                <v:imagedata o:title=""/>
                <o:lock v:ext="edit" aspectratio="f"/>
              </v:shape>
            </w:pict>
          </mc:Fallback>
        </mc:AlternateContent>
      </w:r>
      <w:r>
        <w:drawing>
          <wp:inline distT="0" distB="0" distL="114300" distR="114300">
            <wp:extent cx="5264785" cy="2104390"/>
            <wp:effectExtent l="0" t="0" r="1841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7"/>
                    <a:stretch>
                      <a:fillRect/>
                    </a:stretch>
                  </pic:blipFill>
                  <pic:spPr>
                    <a:xfrm>
                      <a:off x="0" y="0"/>
                      <a:ext cx="5264785" cy="2104390"/>
                    </a:xfrm>
                    <a:prstGeom prst="rect">
                      <a:avLst/>
                    </a:prstGeom>
                    <a:noFill/>
                    <a:ln>
                      <a:noFill/>
                    </a:ln>
                  </pic:spPr>
                </pic:pic>
              </a:graphicData>
            </a:graphic>
          </wp:inline>
        </w:drawing>
      </w:r>
      <w:r>
        <w:drawing>
          <wp:inline distT="0" distB="0" distL="114300" distR="114300">
            <wp:extent cx="5273040" cy="1798320"/>
            <wp:effectExtent l="0" t="0" r="1016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8"/>
                    <a:stretch>
                      <a:fillRect/>
                    </a:stretch>
                  </pic:blipFill>
                  <pic:spPr>
                    <a:xfrm>
                      <a:off x="0" y="0"/>
                      <a:ext cx="5273040" cy="1798320"/>
                    </a:xfrm>
                    <a:prstGeom prst="rect">
                      <a:avLst/>
                    </a:prstGeom>
                    <a:noFill/>
                    <a:ln>
                      <a:noFill/>
                    </a:ln>
                  </pic:spPr>
                </pic:pic>
              </a:graphicData>
            </a:graphic>
          </wp:inline>
        </w:drawing>
      </w:r>
      <w:r>
        <w:drawing>
          <wp:inline distT="0" distB="0" distL="114300" distR="114300">
            <wp:extent cx="5271135" cy="3692525"/>
            <wp:effectExtent l="0" t="0" r="1206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9"/>
                    <a:stretch>
                      <a:fillRect/>
                    </a:stretch>
                  </pic:blipFill>
                  <pic:spPr>
                    <a:xfrm>
                      <a:off x="0" y="0"/>
                      <a:ext cx="5271135" cy="36925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黑KW">
    <w:panose1 w:val="00020600040101010101"/>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等线">
    <w:altName w:val="汉仪中等线KW"/>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5B6FE7"/>
    <w:multiLevelType w:val="multilevel"/>
    <w:tmpl w:val="125B6FE7"/>
    <w:lvl w:ilvl="0" w:tentative="0">
      <w:start w:val="1"/>
      <w:numFmt w:val="decimal"/>
      <w:pStyle w:val="3"/>
      <w:lvlText w:val="%1"/>
      <w:lvlJc w:val="left"/>
      <w:pPr>
        <w:ind w:left="425" w:hanging="425"/>
      </w:pPr>
      <w:rPr>
        <w:rFonts w:hint="eastAsia"/>
      </w:rPr>
    </w:lvl>
    <w:lvl w:ilvl="1" w:tentative="0">
      <w:start w:val="1"/>
      <w:numFmt w:val="decimal"/>
      <w:lvlText w:val="%1.%2"/>
      <w:lvlJc w:val="left"/>
      <w:pPr>
        <w:ind w:left="420" w:hanging="42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C220508"/>
    <w:multiLevelType w:val="multilevel"/>
    <w:tmpl w:val="1C220508"/>
    <w:lvl w:ilvl="0" w:tentative="0">
      <w:start w:val="2"/>
      <w:numFmt w:val="decimal"/>
      <w:lvlText w:val="1.%1"/>
      <w:lvlJc w:val="left"/>
      <w:pPr>
        <w:ind w:left="420" w:hanging="420"/>
      </w:pPr>
      <w:rPr>
        <w:rFonts w:hint="eastAsia"/>
      </w:rPr>
    </w:lvl>
    <w:lvl w:ilvl="1" w:tentative="0">
      <w:start w:val="1"/>
      <w:numFmt w:val="decimal"/>
      <w:lvlText w:val="2.%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decimal"/>
      <w:lvlText w:val="4.%9"/>
      <w:lvlJc w:val="left"/>
      <w:pPr>
        <w:ind w:left="562" w:hanging="420"/>
      </w:pPr>
      <w:rPr>
        <w:rFonts w:hint="eastAsia"/>
      </w:rPr>
    </w:lvl>
  </w:abstractNum>
  <w:abstractNum w:abstractNumId="2">
    <w:nsid w:val="1C3137A5"/>
    <w:multiLevelType w:val="multilevel"/>
    <w:tmpl w:val="1C3137A5"/>
    <w:lvl w:ilvl="0" w:tentative="0">
      <w:start w:val="1"/>
      <w:numFmt w:val="decimal"/>
      <w:pStyle w:val="5"/>
      <w:suff w:val="space"/>
      <w:lvlText w:val="1.2.%1."/>
      <w:lvlJc w:val="left"/>
      <w:pPr>
        <w:ind w:left="1697" w:hanging="420"/>
      </w:pPr>
      <w:rPr>
        <w:rFonts w:hint="eastAsia"/>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3">
    <w:nsid w:val="50517ABA"/>
    <w:multiLevelType w:val="multilevel"/>
    <w:tmpl w:val="50517ABA"/>
    <w:lvl w:ilvl="0" w:tentative="0">
      <w:start w:val="1"/>
      <w:numFmt w:val="decimal"/>
      <w:suff w:val="space"/>
      <w:lvlText w:val="1.1.%1."/>
      <w:lvlJc w:val="left"/>
      <w:pPr>
        <w:ind w:left="1697" w:hanging="420"/>
      </w:pPr>
      <w:rPr>
        <w:rFonts w:hint="eastAsia"/>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4">
    <w:nsid w:val="55EA3172"/>
    <w:multiLevelType w:val="multilevel"/>
    <w:tmpl w:val="55EA317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56623DFD"/>
    <w:multiLevelType w:val="multilevel"/>
    <w:tmpl w:val="56623DFD"/>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A452B9"/>
    <w:multiLevelType w:val="multilevel"/>
    <w:tmpl w:val="63A452B9"/>
    <w:lvl w:ilvl="0" w:tentative="0">
      <w:start w:val="1"/>
      <w:numFmt w:val="decimal"/>
      <w:lvlText w:val="2.%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F7D5080"/>
    <w:multiLevelType w:val="multilevel"/>
    <w:tmpl w:val="6F7D5080"/>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3"/>
  </w:num>
  <w:num w:numId="5">
    <w:abstractNumId w:val="6"/>
  </w:num>
  <w:num w:numId="6">
    <w:abstractNumId w:val="4"/>
  </w:num>
  <w:num w:numId="7">
    <w:abstractNumId w:val="1"/>
    <w:lvlOverride w:ilvl="0">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RhNTMzM2ZjNDUwNGNjNTE2YTZkYzA5ZTJhM2QxZmEifQ=="/>
  </w:docVars>
  <w:rsids>
    <w:rsidRoot w:val="001D409A"/>
    <w:rsid w:val="00005F0C"/>
    <w:rsid w:val="00006491"/>
    <w:rsid w:val="00007E57"/>
    <w:rsid w:val="00016220"/>
    <w:rsid w:val="00021A24"/>
    <w:rsid w:val="00022D2C"/>
    <w:rsid w:val="000300C4"/>
    <w:rsid w:val="00030339"/>
    <w:rsid w:val="00033407"/>
    <w:rsid w:val="00033DC7"/>
    <w:rsid w:val="000364CF"/>
    <w:rsid w:val="00047815"/>
    <w:rsid w:val="0004792B"/>
    <w:rsid w:val="000513B4"/>
    <w:rsid w:val="0005201D"/>
    <w:rsid w:val="000531A3"/>
    <w:rsid w:val="00054967"/>
    <w:rsid w:val="00064F40"/>
    <w:rsid w:val="00070041"/>
    <w:rsid w:val="00073D56"/>
    <w:rsid w:val="000825C8"/>
    <w:rsid w:val="00083F17"/>
    <w:rsid w:val="00084A84"/>
    <w:rsid w:val="00085500"/>
    <w:rsid w:val="00087D1C"/>
    <w:rsid w:val="00093227"/>
    <w:rsid w:val="00097803"/>
    <w:rsid w:val="000A4436"/>
    <w:rsid w:val="000A6356"/>
    <w:rsid w:val="000B4651"/>
    <w:rsid w:val="000B71E2"/>
    <w:rsid w:val="000C0537"/>
    <w:rsid w:val="000D4435"/>
    <w:rsid w:val="000E0855"/>
    <w:rsid w:val="000E2EB3"/>
    <w:rsid w:val="000E39E2"/>
    <w:rsid w:val="000E5402"/>
    <w:rsid w:val="000F672B"/>
    <w:rsid w:val="001072FA"/>
    <w:rsid w:val="00113B3A"/>
    <w:rsid w:val="001218E1"/>
    <w:rsid w:val="00133CE4"/>
    <w:rsid w:val="00135AF7"/>
    <w:rsid w:val="00137672"/>
    <w:rsid w:val="0014369D"/>
    <w:rsid w:val="001478A4"/>
    <w:rsid w:val="0015402A"/>
    <w:rsid w:val="0016187F"/>
    <w:rsid w:val="001640C1"/>
    <w:rsid w:val="001643DB"/>
    <w:rsid w:val="00165AD0"/>
    <w:rsid w:val="00171D31"/>
    <w:rsid w:val="001759FA"/>
    <w:rsid w:val="00180E0B"/>
    <w:rsid w:val="0018134E"/>
    <w:rsid w:val="00181BEC"/>
    <w:rsid w:val="001A5453"/>
    <w:rsid w:val="001B417D"/>
    <w:rsid w:val="001B5C91"/>
    <w:rsid w:val="001D409A"/>
    <w:rsid w:val="001D4B20"/>
    <w:rsid w:val="001E60CE"/>
    <w:rsid w:val="001E6CB4"/>
    <w:rsid w:val="001F2EB6"/>
    <w:rsid w:val="002014E2"/>
    <w:rsid w:val="00204E6F"/>
    <w:rsid w:val="00210889"/>
    <w:rsid w:val="002125B0"/>
    <w:rsid w:val="00212CF9"/>
    <w:rsid w:val="00212DAF"/>
    <w:rsid w:val="002205BA"/>
    <w:rsid w:val="00221D68"/>
    <w:rsid w:val="00222B21"/>
    <w:rsid w:val="0022336F"/>
    <w:rsid w:val="002307A7"/>
    <w:rsid w:val="00233B7D"/>
    <w:rsid w:val="00244CAD"/>
    <w:rsid w:val="002571A8"/>
    <w:rsid w:val="002645A8"/>
    <w:rsid w:val="00266F8D"/>
    <w:rsid w:val="002711FD"/>
    <w:rsid w:val="002805C5"/>
    <w:rsid w:val="00285C5C"/>
    <w:rsid w:val="00294AF5"/>
    <w:rsid w:val="00295467"/>
    <w:rsid w:val="0029709F"/>
    <w:rsid w:val="00297FC9"/>
    <w:rsid w:val="002A4258"/>
    <w:rsid w:val="002B16F8"/>
    <w:rsid w:val="002C15CF"/>
    <w:rsid w:val="002C373C"/>
    <w:rsid w:val="002C4A26"/>
    <w:rsid w:val="002C7F0E"/>
    <w:rsid w:val="002D0B8E"/>
    <w:rsid w:val="002D47FF"/>
    <w:rsid w:val="002D652C"/>
    <w:rsid w:val="002E5EFE"/>
    <w:rsid w:val="002F426C"/>
    <w:rsid w:val="002F5668"/>
    <w:rsid w:val="002F7F19"/>
    <w:rsid w:val="00313A9A"/>
    <w:rsid w:val="0031558C"/>
    <w:rsid w:val="00315EA2"/>
    <w:rsid w:val="00317055"/>
    <w:rsid w:val="00325122"/>
    <w:rsid w:val="0032535F"/>
    <w:rsid w:val="00327C4C"/>
    <w:rsid w:val="0033438A"/>
    <w:rsid w:val="0033492A"/>
    <w:rsid w:val="00335A01"/>
    <w:rsid w:val="003403EE"/>
    <w:rsid w:val="00341932"/>
    <w:rsid w:val="003548A2"/>
    <w:rsid w:val="00354EE4"/>
    <w:rsid w:val="00356800"/>
    <w:rsid w:val="00361517"/>
    <w:rsid w:val="00361B0F"/>
    <w:rsid w:val="0036292B"/>
    <w:rsid w:val="0036333C"/>
    <w:rsid w:val="00363E84"/>
    <w:rsid w:val="00371F1A"/>
    <w:rsid w:val="00374B31"/>
    <w:rsid w:val="0037762A"/>
    <w:rsid w:val="00381D6A"/>
    <w:rsid w:val="00382F89"/>
    <w:rsid w:val="003851FB"/>
    <w:rsid w:val="0039012D"/>
    <w:rsid w:val="00391432"/>
    <w:rsid w:val="00394056"/>
    <w:rsid w:val="003A2227"/>
    <w:rsid w:val="003A3399"/>
    <w:rsid w:val="003A4DA0"/>
    <w:rsid w:val="003C4768"/>
    <w:rsid w:val="003C4D4B"/>
    <w:rsid w:val="003C5217"/>
    <w:rsid w:val="003D0EA8"/>
    <w:rsid w:val="003D1C2F"/>
    <w:rsid w:val="003D3AF8"/>
    <w:rsid w:val="003E57C5"/>
    <w:rsid w:val="003F1246"/>
    <w:rsid w:val="003F194F"/>
    <w:rsid w:val="003F5CAC"/>
    <w:rsid w:val="003F66FA"/>
    <w:rsid w:val="00401D6F"/>
    <w:rsid w:val="00405C1F"/>
    <w:rsid w:val="00407EE9"/>
    <w:rsid w:val="00413838"/>
    <w:rsid w:val="00421958"/>
    <w:rsid w:val="00425A19"/>
    <w:rsid w:val="004266C9"/>
    <w:rsid w:val="004269D0"/>
    <w:rsid w:val="0043248F"/>
    <w:rsid w:val="0043280F"/>
    <w:rsid w:val="00433CCE"/>
    <w:rsid w:val="00437658"/>
    <w:rsid w:val="00440E4E"/>
    <w:rsid w:val="004418D8"/>
    <w:rsid w:val="00443960"/>
    <w:rsid w:val="00447247"/>
    <w:rsid w:val="00450E70"/>
    <w:rsid w:val="004512E1"/>
    <w:rsid w:val="0045547D"/>
    <w:rsid w:val="00455D25"/>
    <w:rsid w:val="00460B16"/>
    <w:rsid w:val="00477A1B"/>
    <w:rsid w:val="00484010"/>
    <w:rsid w:val="00484448"/>
    <w:rsid w:val="004B28FD"/>
    <w:rsid w:val="004D5A7E"/>
    <w:rsid w:val="004D6AA1"/>
    <w:rsid w:val="004D7B1C"/>
    <w:rsid w:val="004E25F4"/>
    <w:rsid w:val="004E41A5"/>
    <w:rsid w:val="004F5DD5"/>
    <w:rsid w:val="005054A3"/>
    <w:rsid w:val="00513431"/>
    <w:rsid w:val="0052027F"/>
    <w:rsid w:val="00524B42"/>
    <w:rsid w:val="00527779"/>
    <w:rsid w:val="00530698"/>
    <w:rsid w:val="00531AD2"/>
    <w:rsid w:val="00533F76"/>
    <w:rsid w:val="005405E1"/>
    <w:rsid w:val="00540D4A"/>
    <w:rsid w:val="005429C2"/>
    <w:rsid w:val="00545F6C"/>
    <w:rsid w:val="00550DE9"/>
    <w:rsid w:val="00551FEA"/>
    <w:rsid w:val="00573C3C"/>
    <w:rsid w:val="00575CFC"/>
    <w:rsid w:val="00577249"/>
    <w:rsid w:val="0057773C"/>
    <w:rsid w:val="00577E6E"/>
    <w:rsid w:val="00586591"/>
    <w:rsid w:val="00593F7A"/>
    <w:rsid w:val="00596323"/>
    <w:rsid w:val="00596380"/>
    <w:rsid w:val="005970D2"/>
    <w:rsid w:val="005A4919"/>
    <w:rsid w:val="005A624B"/>
    <w:rsid w:val="005A7686"/>
    <w:rsid w:val="005A7AF8"/>
    <w:rsid w:val="005B7EE2"/>
    <w:rsid w:val="005C6038"/>
    <w:rsid w:val="005C68E8"/>
    <w:rsid w:val="005D3BD9"/>
    <w:rsid w:val="005D458A"/>
    <w:rsid w:val="005D6875"/>
    <w:rsid w:val="005D75B5"/>
    <w:rsid w:val="005E3554"/>
    <w:rsid w:val="005F2D1D"/>
    <w:rsid w:val="00610870"/>
    <w:rsid w:val="00610C1B"/>
    <w:rsid w:val="00621ED4"/>
    <w:rsid w:val="0062737D"/>
    <w:rsid w:val="006325E9"/>
    <w:rsid w:val="0063773A"/>
    <w:rsid w:val="00645918"/>
    <w:rsid w:val="00654D3F"/>
    <w:rsid w:val="006636CB"/>
    <w:rsid w:val="00666037"/>
    <w:rsid w:val="006737FF"/>
    <w:rsid w:val="00676AA9"/>
    <w:rsid w:val="00676AB5"/>
    <w:rsid w:val="00683176"/>
    <w:rsid w:val="00685477"/>
    <w:rsid w:val="00686252"/>
    <w:rsid w:val="00691B89"/>
    <w:rsid w:val="006A4308"/>
    <w:rsid w:val="006B097E"/>
    <w:rsid w:val="006B4064"/>
    <w:rsid w:val="006B4759"/>
    <w:rsid w:val="006B5FEB"/>
    <w:rsid w:val="006B6CB4"/>
    <w:rsid w:val="006C254A"/>
    <w:rsid w:val="006C2BED"/>
    <w:rsid w:val="006C5D12"/>
    <w:rsid w:val="006C7658"/>
    <w:rsid w:val="006D0BB7"/>
    <w:rsid w:val="006D2A71"/>
    <w:rsid w:val="006D38CC"/>
    <w:rsid w:val="006D5751"/>
    <w:rsid w:val="006E6D92"/>
    <w:rsid w:val="006F148A"/>
    <w:rsid w:val="006F1DFA"/>
    <w:rsid w:val="00700237"/>
    <w:rsid w:val="00700D9C"/>
    <w:rsid w:val="007046F9"/>
    <w:rsid w:val="00711C20"/>
    <w:rsid w:val="00714316"/>
    <w:rsid w:val="00723687"/>
    <w:rsid w:val="00733602"/>
    <w:rsid w:val="007341B5"/>
    <w:rsid w:val="00736862"/>
    <w:rsid w:val="00746F30"/>
    <w:rsid w:val="007479D7"/>
    <w:rsid w:val="0075092B"/>
    <w:rsid w:val="0075575F"/>
    <w:rsid w:val="00755A2E"/>
    <w:rsid w:val="00756D22"/>
    <w:rsid w:val="0076660D"/>
    <w:rsid w:val="007667CA"/>
    <w:rsid w:val="00770637"/>
    <w:rsid w:val="007708BA"/>
    <w:rsid w:val="0077518C"/>
    <w:rsid w:val="0077692A"/>
    <w:rsid w:val="0078060A"/>
    <w:rsid w:val="00781F1D"/>
    <w:rsid w:val="00783CE1"/>
    <w:rsid w:val="00790261"/>
    <w:rsid w:val="00791A10"/>
    <w:rsid w:val="007A4EB6"/>
    <w:rsid w:val="007B00FF"/>
    <w:rsid w:val="007B0F99"/>
    <w:rsid w:val="007C07F0"/>
    <w:rsid w:val="007C5A7E"/>
    <w:rsid w:val="007D41C9"/>
    <w:rsid w:val="007D5E54"/>
    <w:rsid w:val="007E19A5"/>
    <w:rsid w:val="007E4907"/>
    <w:rsid w:val="007F1862"/>
    <w:rsid w:val="007F1929"/>
    <w:rsid w:val="007F42D5"/>
    <w:rsid w:val="007F575F"/>
    <w:rsid w:val="00806D6B"/>
    <w:rsid w:val="008153E3"/>
    <w:rsid w:val="0082345C"/>
    <w:rsid w:val="008242E8"/>
    <w:rsid w:val="00824F4B"/>
    <w:rsid w:val="00831182"/>
    <w:rsid w:val="00832032"/>
    <w:rsid w:val="00835476"/>
    <w:rsid w:val="00835CBB"/>
    <w:rsid w:val="00842CF7"/>
    <w:rsid w:val="00845914"/>
    <w:rsid w:val="00846E9E"/>
    <w:rsid w:val="008507E3"/>
    <w:rsid w:val="008634B9"/>
    <w:rsid w:val="00867427"/>
    <w:rsid w:val="00877624"/>
    <w:rsid w:val="008849A2"/>
    <w:rsid w:val="00886F40"/>
    <w:rsid w:val="008959B7"/>
    <w:rsid w:val="008A057C"/>
    <w:rsid w:val="008A331B"/>
    <w:rsid w:val="008A4E73"/>
    <w:rsid w:val="008A6775"/>
    <w:rsid w:val="008B3846"/>
    <w:rsid w:val="008C4793"/>
    <w:rsid w:val="008D213F"/>
    <w:rsid w:val="008D348F"/>
    <w:rsid w:val="008D3F82"/>
    <w:rsid w:val="008D69AC"/>
    <w:rsid w:val="008E065A"/>
    <w:rsid w:val="008E1006"/>
    <w:rsid w:val="008E4DCE"/>
    <w:rsid w:val="008F0478"/>
    <w:rsid w:val="00901A15"/>
    <w:rsid w:val="009130BB"/>
    <w:rsid w:val="00913A5A"/>
    <w:rsid w:val="00917249"/>
    <w:rsid w:val="0093470A"/>
    <w:rsid w:val="00934A87"/>
    <w:rsid w:val="00944E70"/>
    <w:rsid w:val="00947089"/>
    <w:rsid w:val="009479E0"/>
    <w:rsid w:val="00953A87"/>
    <w:rsid w:val="00953CA8"/>
    <w:rsid w:val="0095438C"/>
    <w:rsid w:val="009546AF"/>
    <w:rsid w:val="0095660C"/>
    <w:rsid w:val="00963444"/>
    <w:rsid w:val="00971110"/>
    <w:rsid w:val="00994CF6"/>
    <w:rsid w:val="009A78C1"/>
    <w:rsid w:val="009B2515"/>
    <w:rsid w:val="009B52F5"/>
    <w:rsid w:val="009C21EF"/>
    <w:rsid w:val="009C611F"/>
    <w:rsid w:val="009D4831"/>
    <w:rsid w:val="009D6A8A"/>
    <w:rsid w:val="009E38DD"/>
    <w:rsid w:val="009E4B1E"/>
    <w:rsid w:val="009E6F1F"/>
    <w:rsid w:val="009E7E11"/>
    <w:rsid w:val="009F1941"/>
    <w:rsid w:val="00A07039"/>
    <w:rsid w:val="00A11CDF"/>
    <w:rsid w:val="00A22E7C"/>
    <w:rsid w:val="00A25A38"/>
    <w:rsid w:val="00A264CD"/>
    <w:rsid w:val="00A32D0E"/>
    <w:rsid w:val="00A3489D"/>
    <w:rsid w:val="00A5165D"/>
    <w:rsid w:val="00A55601"/>
    <w:rsid w:val="00A567CE"/>
    <w:rsid w:val="00A612DD"/>
    <w:rsid w:val="00A63F3C"/>
    <w:rsid w:val="00A652EF"/>
    <w:rsid w:val="00A73541"/>
    <w:rsid w:val="00A73927"/>
    <w:rsid w:val="00A76FBE"/>
    <w:rsid w:val="00A8055B"/>
    <w:rsid w:val="00A91418"/>
    <w:rsid w:val="00A914C0"/>
    <w:rsid w:val="00A923C7"/>
    <w:rsid w:val="00A93D21"/>
    <w:rsid w:val="00AA06F5"/>
    <w:rsid w:val="00AA45C2"/>
    <w:rsid w:val="00AA4829"/>
    <w:rsid w:val="00AB4889"/>
    <w:rsid w:val="00AC2856"/>
    <w:rsid w:val="00AC2EF5"/>
    <w:rsid w:val="00AC4EA1"/>
    <w:rsid w:val="00AC5ABC"/>
    <w:rsid w:val="00AC7500"/>
    <w:rsid w:val="00AD126D"/>
    <w:rsid w:val="00AD1C02"/>
    <w:rsid w:val="00AE075E"/>
    <w:rsid w:val="00AE1ACB"/>
    <w:rsid w:val="00AF6269"/>
    <w:rsid w:val="00B00D01"/>
    <w:rsid w:val="00B0521A"/>
    <w:rsid w:val="00B06484"/>
    <w:rsid w:val="00B069D8"/>
    <w:rsid w:val="00B12528"/>
    <w:rsid w:val="00B132FD"/>
    <w:rsid w:val="00B15155"/>
    <w:rsid w:val="00B2115E"/>
    <w:rsid w:val="00B214EC"/>
    <w:rsid w:val="00B32BCA"/>
    <w:rsid w:val="00B34AB4"/>
    <w:rsid w:val="00B456A0"/>
    <w:rsid w:val="00B52511"/>
    <w:rsid w:val="00B6048D"/>
    <w:rsid w:val="00B60D9F"/>
    <w:rsid w:val="00B62465"/>
    <w:rsid w:val="00B709FE"/>
    <w:rsid w:val="00B7409F"/>
    <w:rsid w:val="00B747D8"/>
    <w:rsid w:val="00B74D98"/>
    <w:rsid w:val="00B7709C"/>
    <w:rsid w:val="00B818AF"/>
    <w:rsid w:val="00B86FAD"/>
    <w:rsid w:val="00B939AD"/>
    <w:rsid w:val="00B97DDA"/>
    <w:rsid w:val="00BA21C8"/>
    <w:rsid w:val="00BA711C"/>
    <w:rsid w:val="00BC56DA"/>
    <w:rsid w:val="00BC741C"/>
    <w:rsid w:val="00BD1FB4"/>
    <w:rsid w:val="00BD3B19"/>
    <w:rsid w:val="00BD7BF8"/>
    <w:rsid w:val="00BE1682"/>
    <w:rsid w:val="00BF1450"/>
    <w:rsid w:val="00BF14DD"/>
    <w:rsid w:val="00BF1713"/>
    <w:rsid w:val="00BF43D8"/>
    <w:rsid w:val="00BF487B"/>
    <w:rsid w:val="00BF77AF"/>
    <w:rsid w:val="00BF7BB5"/>
    <w:rsid w:val="00C035FD"/>
    <w:rsid w:val="00C16DF9"/>
    <w:rsid w:val="00C17460"/>
    <w:rsid w:val="00C22651"/>
    <w:rsid w:val="00C241E4"/>
    <w:rsid w:val="00C36CB2"/>
    <w:rsid w:val="00C57785"/>
    <w:rsid w:val="00C6175C"/>
    <w:rsid w:val="00C67245"/>
    <w:rsid w:val="00C6734E"/>
    <w:rsid w:val="00C71114"/>
    <w:rsid w:val="00C811C0"/>
    <w:rsid w:val="00C813D5"/>
    <w:rsid w:val="00C81617"/>
    <w:rsid w:val="00C914B1"/>
    <w:rsid w:val="00C93A01"/>
    <w:rsid w:val="00CC39C9"/>
    <w:rsid w:val="00CD068B"/>
    <w:rsid w:val="00CD41EA"/>
    <w:rsid w:val="00CE09BD"/>
    <w:rsid w:val="00CE0C29"/>
    <w:rsid w:val="00D0279D"/>
    <w:rsid w:val="00D0356C"/>
    <w:rsid w:val="00D1011D"/>
    <w:rsid w:val="00D140A4"/>
    <w:rsid w:val="00D1459E"/>
    <w:rsid w:val="00D1506B"/>
    <w:rsid w:val="00D16034"/>
    <w:rsid w:val="00D2264F"/>
    <w:rsid w:val="00D2427A"/>
    <w:rsid w:val="00D27150"/>
    <w:rsid w:val="00D313D8"/>
    <w:rsid w:val="00D322E3"/>
    <w:rsid w:val="00D35293"/>
    <w:rsid w:val="00D35FDF"/>
    <w:rsid w:val="00D40D78"/>
    <w:rsid w:val="00D43001"/>
    <w:rsid w:val="00D43903"/>
    <w:rsid w:val="00D44DC2"/>
    <w:rsid w:val="00D4533E"/>
    <w:rsid w:val="00D677AC"/>
    <w:rsid w:val="00D721FA"/>
    <w:rsid w:val="00D75092"/>
    <w:rsid w:val="00D930CD"/>
    <w:rsid w:val="00DB0255"/>
    <w:rsid w:val="00DB0A83"/>
    <w:rsid w:val="00DB3114"/>
    <w:rsid w:val="00DB34F4"/>
    <w:rsid w:val="00DB7AF1"/>
    <w:rsid w:val="00DC0F00"/>
    <w:rsid w:val="00DC13D8"/>
    <w:rsid w:val="00DC5D58"/>
    <w:rsid w:val="00DD049A"/>
    <w:rsid w:val="00DD1482"/>
    <w:rsid w:val="00E015A0"/>
    <w:rsid w:val="00E04282"/>
    <w:rsid w:val="00E049AB"/>
    <w:rsid w:val="00E06F9B"/>
    <w:rsid w:val="00E201C1"/>
    <w:rsid w:val="00E21354"/>
    <w:rsid w:val="00E22C33"/>
    <w:rsid w:val="00E25EB8"/>
    <w:rsid w:val="00E34D76"/>
    <w:rsid w:val="00E35B49"/>
    <w:rsid w:val="00E37D11"/>
    <w:rsid w:val="00E426E8"/>
    <w:rsid w:val="00E4383C"/>
    <w:rsid w:val="00E46AA4"/>
    <w:rsid w:val="00E47217"/>
    <w:rsid w:val="00E47B47"/>
    <w:rsid w:val="00E50F72"/>
    <w:rsid w:val="00E52730"/>
    <w:rsid w:val="00E5372F"/>
    <w:rsid w:val="00E56F6B"/>
    <w:rsid w:val="00E71CB8"/>
    <w:rsid w:val="00E7258E"/>
    <w:rsid w:val="00E76ADC"/>
    <w:rsid w:val="00E92141"/>
    <w:rsid w:val="00E94DFE"/>
    <w:rsid w:val="00EA0DAE"/>
    <w:rsid w:val="00EA0EB5"/>
    <w:rsid w:val="00EA2373"/>
    <w:rsid w:val="00EA4A3A"/>
    <w:rsid w:val="00EB66CE"/>
    <w:rsid w:val="00EB7C3D"/>
    <w:rsid w:val="00EC059B"/>
    <w:rsid w:val="00EC3FB7"/>
    <w:rsid w:val="00ED6D86"/>
    <w:rsid w:val="00EE3E5D"/>
    <w:rsid w:val="00EE46C9"/>
    <w:rsid w:val="00EE70D4"/>
    <w:rsid w:val="00EE7CC8"/>
    <w:rsid w:val="00EF1C5E"/>
    <w:rsid w:val="00EF3769"/>
    <w:rsid w:val="00EF746F"/>
    <w:rsid w:val="00EF7BCC"/>
    <w:rsid w:val="00EF7CC3"/>
    <w:rsid w:val="00F0085F"/>
    <w:rsid w:val="00F07113"/>
    <w:rsid w:val="00F078AA"/>
    <w:rsid w:val="00F215C1"/>
    <w:rsid w:val="00F225A3"/>
    <w:rsid w:val="00F27A85"/>
    <w:rsid w:val="00F33378"/>
    <w:rsid w:val="00F36EC0"/>
    <w:rsid w:val="00F4693F"/>
    <w:rsid w:val="00F52AA3"/>
    <w:rsid w:val="00F56B1A"/>
    <w:rsid w:val="00F57686"/>
    <w:rsid w:val="00F6173D"/>
    <w:rsid w:val="00F80BC6"/>
    <w:rsid w:val="00F81597"/>
    <w:rsid w:val="00F84B25"/>
    <w:rsid w:val="00F9152D"/>
    <w:rsid w:val="00F97391"/>
    <w:rsid w:val="00FB5ED7"/>
    <w:rsid w:val="00FC04DD"/>
    <w:rsid w:val="00FC154B"/>
    <w:rsid w:val="00FC2998"/>
    <w:rsid w:val="00FC405D"/>
    <w:rsid w:val="00FC535E"/>
    <w:rsid w:val="00FD0682"/>
    <w:rsid w:val="00FD4D3D"/>
    <w:rsid w:val="00FE025E"/>
    <w:rsid w:val="00FE5F90"/>
    <w:rsid w:val="00FF00C9"/>
    <w:rsid w:val="00FF4077"/>
    <w:rsid w:val="00FF5AE3"/>
    <w:rsid w:val="00FF659A"/>
    <w:rsid w:val="0108148B"/>
    <w:rsid w:val="03EC1B56"/>
    <w:rsid w:val="06EA7994"/>
    <w:rsid w:val="072E352A"/>
    <w:rsid w:val="08291B99"/>
    <w:rsid w:val="094D2A50"/>
    <w:rsid w:val="09F5611F"/>
    <w:rsid w:val="0A92623B"/>
    <w:rsid w:val="1D6516F4"/>
    <w:rsid w:val="1F027D05"/>
    <w:rsid w:val="1FF775ED"/>
    <w:rsid w:val="2A725DE9"/>
    <w:rsid w:val="2FBDC17D"/>
    <w:rsid w:val="302851DA"/>
    <w:rsid w:val="324B6F22"/>
    <w:rsid w:val="33890288"/>
    <w:rsid w:val="357D4EE3"/>
    <w:rsid w:val="36C3228C"/>
    <w:rsid w:val="370D7490"/>
    <w:rsid w:val="37BD5688"/>
    <w:rsid w:val="3D7EF5C8"/>
    <w:rsid w:val="3DBC2DD9"/>
    <w:rsid w:val="3E33EE0B"/>
    <w:rsid w:val="3E4B1C4A"/>
    <w:rsid w:val="3EAFB594"/>
    <w:rsid w:val="3F1D6002"/>
    <w:rsid w:val="3F7BF5A5"/>
    <w:rsid w:val="4039035A"/>
    <w:rsid w:val="45DFB056"/>
    <w:rsid w:val="45EFAF97"/>
    <w:rsid w:val="4B02512F"/>
    <w:rsid w:val="4B943002"/>
    <w:rsid w:val="4D1F33F6"/>
    <w:rsid w:val="51984AA1"/>
    <w:rsid w:val="5A7222BB"/>
    <w:rsid w:val="5BF32012"/>
    <w:rsid w:val="5CAE6016"/>
    <w:rsid w:val="5D7B1AE5"/>
    <w:rsid w:val="5D7DC618"/>
    <w:rsid w:val="61791E4C"/>
    <w:rsid w:val="623B6629"/>
    <w:rsid w:val="6AB8747B"/>
    <w:rsid w:val="6D7327DA"/>
    <w:rsid w:val="6DEF1969"/>
    <w:rsid w:val="6E539CC0"/>
    <w:rsid w:val="6F7CDE6B"/>
    <w:rsid w:val="6FEF74EF"/>
    <w:rsid w:val="6FFF79A0"/>
    <w:rsid w:val="74BECE1E"/>
    <w:rsid w:val="77FB47BA"/>
    <w:rsid w:val="79FC734A"/>
    <w:rsid w:val="7A7E260B"/>
    <w:rsid w:val="7AF93FBF"/>
    <w:rsid w:val="7B7F55D4"/>
    <w:rsid w:val="7BAF4716"/>
    <w:rsid w:val="7CEDF591"/>
    <w:rsid w:val="7D570A32"/>
    <w:rsid w:val="7DFDBBDC"/>
    <w:rsid w:val="7E6E7B59"/>
    <w:rsid w:val="7EC6D667"/>
    <w:rsid w:val="7EDFB82E"/>
    <w:rsid w:val="7FBF7E37"/>
    <w:rsid w:val="7FE963ED"/>
    <w:rsid w:val="7FF93245"/>
    <w:rsid w:val="9FF4880B"/>
    <w:rsid w:val="A2FB4B6C"/>
    <w:rsid w:val="AFF74AF3"/>
    <w:rsid w:val="B2A51EB7"/>
    <w:rsid w:val="B5DB8037"/>
    <w:rsid w:val="B7BBA5CB"/>
    <w:rsid w:val="BBDC405D"/>
    <w:rsid w:val="BEFBA4D5"/>
    <w:rsid w:val="BF1FB62A"/>
    <w:rsid w:val="BFCF7EE0"/>
    <w:rsid w:val="BFFD948C"/>
    <w:rsid w:val="C5EF7449"/>
    <w:rsid w:val="CFFD3121"/>
    <w:rsid w:val="D78D6A01"/>
    <w:rsid w:val="DBFFD81A"/>
    <w:rsid w:val="DDB3165F"/>
    <w:rsid w:val="DDDB7E60"/>
    <w:rsid w:val="DDF5C9B2"/>
    <w:rsid w:val="DDFE3D00"/>
    <w:rsid w:val="DF7F4656"/>
    <w:rsid w:val="DF939ACC"/>
    <w:rsid w:val="DFA2C5F2"/>
    <w:rsid w:val="DFDD4BCA"/>
    <w:rsid w:val="E7320E2D"/>
    <w:rsid w:val="EAF8C4EE"/>
    <w:rsid w:val="EBED9F7F"/>
    <w:rsid w:val="ED4D5622"/>
    <w:rsid w:val="EEDE37D9"/>
    <w:rsid w:val="EFBB4C72"/>
    <w:rsid w:val="EFBF652B"/>
    <w:rsid w:val="F6F72A34"/>
    <w:rsid w:val="F75F46CE"/>
    <w:rsid w:val="F7BE2A08"/>
    <w:rsid w:val="F8FF6DF5"/>
    <w:rsid w:val="F9FCBC07"/>
    <w:rsid w:val="FADAACCC"/>
    <w:rsid w:val="FCDFF46F"/>
    <w:rsid w:val="FD7BF889"/>
    <w:rsid w:val="FDFF72B0"/>
    <w:rsid w:val="FEFB0DC8"/>
    <w:rsid w:val="FF2F083D"/>
    <w:rsid w:val="FF67DCD3"/>
    <w:rsid w:val="FF6D2834"/>
    <w:rsid w:val="FFDDC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0"/>
        <w:numId w:val="1"/>
      </w:numPr>
      <w:spacing w:before="260" w:after="260" w:line="416" w:lineRule="auto"/>
      <w:outlineLvl w:val="1"/>
    </w:pPr>
    <w:rPr>
      <w:rFonts w:ascii="宋体" w:hAnsi="宋体" w:eastAsia="宋体" w:cstheme="majorBidi"/>
      <w:b/>
      <w:bCs/>
      <w:sz w:val="36"/>
      <w:szCs w:val="36"/>
    </w:rPr>
  </w:style>
  <w:style w:type="paragraph" w:styleId="4">
    <w:name w:val="heading 3"/>
    <w:basedOn w:val="1"/>
    <w:next w:val="1"/>
    <w:link w:val="25"/>
    <w:unhideWhenUsed/>
    <w:qFormat/>
    <w:uiPriority w:val="9"/>
    <w:pPr>
      <w:keepNext/>
      <w:keepLines/>
      <w:spacing w:before="260" w:after="260" w:line="416" w:lineRule="auto"/>
      <w:outlineLvl w:val="2"/>
    </w:pPr>
    <w:rPr>
      <w:rFonts w:ascii="宋体" w:hAnsi="宋体" w:eastAsia="宋体"/>
      <w:b/>
      <w:bCs/>
      <w:sz w:val="28"/>
      <w:szCs w:val="32"/>
    </w:rPr>
  </w:style>
  <w:style w:type="paragraph" w:styleId="5">
    <w:name w:val="heading 4"/>
    <w:basedOn w:val="1"/>
    <w:next w:val="1"/>
    <w:link w:val="31"/>
    <w:unhideWhenUsed/>
    <w:qFormat/>
    <w:uiPriority w:val="9"/>
    <w:pPr>
      <w:keepNext/>
      <w:keepLines/>
      <w:numPr>
        <w:ilvl w:val="0"/>
        <w:numId w:val="2"/>
      </w:numPr>
      <w:spacing w:before="280" w:after="290" w:line="377" w:lineRule="auto"/>
      <w:outlineLvl w:val="3"/>
    </w:pPr>
    <w:rPr>
      <w:rFonts w:ascii="宋体" w:hAnsi="宋体" w:eastAsia="宋体" w:cstheme="majorBidi"/>
      <w:b/>
      <w:bCs/>
      <w:sz w:val="28"/>
      <w:szCs w:val="28"/>
    </w:rPr>
  </w:style>
  <w:style w:type="paragraph" w:styleId="6">
    <w:name w:val="heading 5"/>
    <w:basedOn w:val="1"/>
    <w:next w:val="1"/>
    <w:link w:val="32"/>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Document Map"/>
    <w:basedOn w:val="1"/>
    <w:link w:val="36"/>
    <w:unhideWhenUsed/>
    <w:qFormat/>
    <w:uiPriority w:val="99"/>
    <w:rPr>
      <w:rFonts w:ascii="宋体" w:eastAsia="宋体"/>
      <w:sz w:val="18"/>
      <w:szCs w:val="18"/>
    </w:rPr>
  </w:style>
  <w:style w:type="paragraph" w:styleId="9">
    <w:name w:val="annotation text"/>
    <w:basedOn w:val="1"/>
    <w:link w:val="28"/>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29"/>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annotation subject"/>
    <w:basedOn w:val="9"/>
    <w:next w:val="9"/>
    <w:link w:val="34"/>
    <w:unhideWhenUsed/>
    <w:qFormat/>
    <w:uiPriority w:val="99"/>
    <w:rPr>
      <w:b/>
      <w:bCs/>
    </w:rPr>
  </w:style>
  <w:style w:type="table" w:styleId="18">
    <w:name w:val="Table Grid"/>
    <w:basedOn w:val="1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unhideWhenUsed/>
    <w:qFormat/>
    <w:uiPriority w:val="99"/>
    <w:rPr>
      <w:sz w:val="21"/>
      <w:szCs w:val="21"/>
    </w:rPr>
  </w:style>
  <w:style w:type="character" w:customStyle="1" w:styleId="22">
    <w:name w:val="页眉 字符"/>
    <w:basedOn w:val="19"/>
    <w:link w:val="13"/>
    <w:qFormat/>
    <w:uiPriority w:val="99"/>
    <w:rPr>
      <w:sz w:val="18"/>
      <w:szCs w:val="18"/>
    </w:rPr>
  </w:style>
  <w:style w:type="character" w:customStyle="1" w:styleId="23">
    <w:name w:val="页脚 字符"/>
    <w:basedOn w:val="19"/>
    <w:link w:val="12"/>
    <w:qFormat/>
    <w:uiPriority w:val="99"/>
    <w:rPr>
      <w:sz w:val="18"/>
      <w:szCs w:val="18"/>
    </w:rPr>
  </w:style>
  <w:style w:type="character" w:customStyle="1" w:styleId="24">
    <w:name w:val="标题 2 字符"/>
    <w:basedOn w:val="19"/>
    <w:link w:val="3"/>
    <w:qFormat/>
    <w:uiPriority w:val="9"/>
    <w:rPr>
      <w:rFonts w:ascii="宋体" w:hAnsi="宋体" w:eastAsia="宋体" w:cstheme="majorBidi"/>
      <w:b/>
      <w:bCs/>
      <w:sz w:val="36"/>
      <w:szCs w:val="36"/>
    </w:rPr>
  </w:style>
  <w:style w:type="character" w:customStyle="1" w:styleId="25">
    <w:name w:val="标题 3 字符"/>
    <w:basedOn w:val="19"/>
    <w:link w:val="4"/>
    <w:qFormat/>
    <w:uiPriority w:val="9"/>
    <w:rPr>
      <w:rFonts w:ascii="宋体" w:hAnsi="宋体" w:eastAsia="宋体"/>
      <w:b/>
      <w:bCs/>
      <w:sz w:val="28"/>
      <w:szCs w:val="32"/>
    </w:rPr>
  </w:style>
  <w:style w:type="paragraph" w:customStyle="1" w:styleId="26">
    <w:name w:val="仿宋四号"/>
    <w:basedOn w:val="1"/>
    <w:link w:val="27"/>
    <w:qFormat/>
    <w:uiPriority w:val="0"/>
    <w:pPr>
      <w:ind w:firstLine="200" w:firstLineChars="200"/>
    </w:pPr>
    <w:rPr>
      <w:rFonts w:ascii="仿宋" w:hAnsi="仿宋" w:eastAsia="仿宋"/>
      <w:sz w:val="28"/>
      <w:szCs w:val="28"/>
    </w:rPr>
  </w:style>
  <w:style w:type="character" w:customStyle="1" w:styleId="27">
    <w:name w:val="仿宋四号 字符"/>
    <w:basedOn w:val="19"/>
    <w:link w:val="26"/>
    <w:qFormat/>
    <w:uiPriority w:val="0"/>
    <w:rPr>
      <w:rFonts w:ascii="仿宋" w:hAnsi="仿宋" w:eastAsia="仿宋"/>
      <w:sz w:val="28"/>
      <w:szCs w:val="28"/>
    </w:rPr>
  </w:style>
  <w:style w:type="character" w:customStyle="1" w:styleId="28">
    <w:name w:val="批注文字 字符"/>
    <w:basedOn w:val="19"/>
    <w:link w:val="9"/>
    <w:semiHidden/>
    <w:qFormat/>
    <w:uiPriority w:val="99"/>
  </w:style>
  <w:style w:type="character" w:customStyle="1" w:styleId="29">
    <w:name w:val="批注框文本 字符"/>
    <w:basedOn w:val="19"/>
    <w:link w:val="11"/>
    <w:semiHidden/>
    <w:qFormat/>
    <w:uiPriority w:val="99"/>
    <w:rPr>
      <w:sz w:val="18"/>
      <w:szCs w:val="18"/>
    </w:rPr>
  </w:style>
  <w:style w:type="character" w:customStyle="1" w:styleId="30">
    <w:name w:val="标题 1 字符"/>
    <w:basedOn w:val="19"/>
    <w:link w:val="2"/>
    <w:qFormat/>
    <w:uiPriority w:val="0"/>
    <w:rPr>
      <w:b/>
      <w:bCs/>
      <w:kern w:val="44"/>
      <w:sz w:val="44"/>
      <w:szCs w:val="44"/>
    </w:rPr>
  </w:style>
  <w:style w:type="character" w:customStyle="1" w:styleId="31">
    <w:name w:val="标题 4 字符"/>
    <w:basedOn w:val="19"/>
    <w:link w:val="5"/>
    <w:qFormat/>
    <w:uiPriority w:val="9"/>
    <w:rPr>
      <w:rFonts w:ascii="宋体" w:hAnsi="宋体" w:eastAsia="宋体" w:cstheme="majorBidi"/>
      <w:b/>
      <w:bCs/>
      <w:sz w:val="28"/>
      <w:szCs w:val="28"/>
    </w:rPr>
  </w:style>
  <w:style w:type="character" w:customStyle="1" w:styleId="32">
    <w:name w:val="标题 5 字符"/>
    <w:basedOn w:val="19"/>
    <w:link w:val="6"/>
    <w:qFormat/>
    <w:uiPriority w:val="9"/>
    <w:rPr>
      <w:b/>
      <w:bCs/>
      <w:sz w:val="28"/>
      <w:szCs w:val="28"/>
    </w:rPr>
  </w:style>
  <w:style w:type="paragraph" w:customStyle="1" w:styleId="33">
    <w:name w:val="列表段落1"/>
    <w:basedOn w:val="1"/>
    <w:qFormat/>
    <w:uiPriority w:val="34"/>
    <w:pPr>
      <w:ind w:firstLine="420" w:firstLineChars="200"/>
    </w:pPr>
  </w:style>
  <w:style w:type="character" w:customStyle="1" w:styleId="34">
    <w:name w:val="批注主题 字符"/>
    <w:basedOn w:val="28"/>
    <w:link w:val="16"/>
    <w:semiHidden/>
    <w:qFormat/>
    <w:uiPriority w:val="99"/>
    <w:rPr>
      <w:b/>
      <w:bCs/>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6">
    <w:name w:val="文档结构图 字符"/>
    <w:basedOn w:val="19"/>
    <w:link w:val="8"/>
    <w:semiHidden/>
    <w:qFormat/>
    <w:uiPriority w:val="99"/>
    <w:rPr>
      <w:rFonts w:ascii="宋体" w:eastAsia="宋体"/>
      <w:sz w:val="18"/>
      <w:szCs w:val="18"/>
    </w:rPr>
  </w:style>
  <w:style w:type="character" w:customStyle="1" w:styleId="37">
    <w:name w:val="未处理的提及1"/>
    <w:basedOn w:val="19"/>
    <w:unhideWhenUsed/>
    <w:qFormat/>
    <w:uiPriority w:val="99"/>
    <w:rPr>
      <w:color w:val="605E5C"/>
      <w:shd w:val="clear" w:color="auto" w:fill="E1DFDD"/>
    </w:rPr>
  </w:style>
  <w:style w:type="paragraph" w:customStyle="1" w:styleId="38">
    <w:name w:val="_Style 11"/>
    <w:basedOn w:val="1"/>
    <w:next w:val="33"/>
    <w:qFormat/>
    <w:uiPriority w:val="34"/>
    <w:pPr>
      <w:ind w:firstLine="420" w:firstLineChars="200"/>
    </w:pPr>
    <w:rPr>
      <w:szCs w:val="24"/>
    </w:rPr>
  </w:style>
  <w:style w:type="paragraph" w:customStyle="1" w:styleId="39">
    <w:name w:val="WPSOffice手动目录 1"/>
    <w:qFormat/>
    <w:uiPriority w:val="0"/>
    <w:pPr>
      <w:ind w:leftChars="0"/>
    </w:pPr>
    <w:rPr>
      <w:rFonts w:ascii="Times New Roman" w:hAnsi="Times New Roman" w:eastAsia="宋体" w:cs="Times New Roman"/>
      <w:sz w:val="20"/>
      <w:szCs w:val="20"/>
    </w:rPr>
  </w:style>
  <w:style w:type="paragraph" w:customStyle="1" w:styleId="40">
    <w:name w:val="WPSOffice手动目录 2"/>
    <w:qFormat/>
    <w:uiPriority w:val="0"/>
    <w:pPr>
      <w:ind w:leftChars="200"/>
    </w:pPr>
    <w:rPr>
      <w:rFonts w:ascii="Times New Roman" w:hAnsi="Times New Roman" w:eastAsia="宋体" w:cs="Times New Roman"/>
      <w:sz w:val="20"/>
      <w:szCs w:val="20"/>
    </w:rPr>
  </w:style>
  <w:style w:type="paragraph" w:customStyle="1" w:styleId="4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10300</Words>
  <Characters>11250</Characters>
  <Lines>167</Lines>
  <Paragraphs>47</Paragraphs>
  <TotalTime>0</TotalTime>
  <ScaleCrop>false</ScaleCrop>
  <LinksUpToDate>false</LinksUpToDate>
  <CharactersWithSpaces>11868</CharactersWithSpaces>
  <Application>WPS Office_4.6.0.7435_F1E327BC-269C-435d-A152-05C5408002CA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2020-02-27T18:26:00Z</dcterms:created>
  <dc:creator>liujing2</dc:creator>
  <cp:lastModifiedBy>- 大元儿</cp:lastModifiedBy>
  <cp:lastPrinted>2017-04-21T03:55:00Z</cp:lastPrinted>
  <dcterms:modified xsi:type="dcterms:W3CDTF">2022-09-06T11:29:41Z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2052-4.6.0.7435</vt:lpwstr>
  </property>
  <property fmtid="{D5CDD505-2E9C-101B-9397-08002B2CF9AE}" pid="3" name="ICV">
    <vt:lpwstr>DC1E31BC2ADAF74DAEB11663720CB06F</vt:lpwstr>
  </property>
</Properties>
</file>